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D3409" w14:textId="77777777" w:rsidR="00CF0786" w:rsidRPr="00A132FE" w:rsidRDefault="00CF0786" w:rsidP="00A132FE">
      <w:pPr>
        <w:spacing w:after="0" w:line="240" w:lineRule="atLeast"/>
        <w:jc w:val="center"/>
        <w:textAlignment w:val="baseline"/>
        <w:outlineLvl w:val="0"/>
        <w:rPr>
          <w:rFonts w:ascii="Times New Roman" w:eastAsia="Times New Roman" w:hAnsi="Times New Roman" w:cs="Times New Roman"/>
          <w:color w:val="000000"/>
          <w:kern w:val="36"/>
          <w:sz w:val="52"/>
          <w:szCs w:val="52"/>
          <w:lang w:eastAsia="ua-UA"/>
        </w:rPr>
      </w:pPr>
      <w:r w:rsidRPr="00A132FE">
        <w:rPr>
          <w:rFonts w:ascii="Times New Roman" w:eastAsia="Times New Roman" w:hAnsi="Times New Roman" w:cs="Times New Roman"/>
          <w:color w:val="000000"/>
          <w:kern w:val="36"/>
          <w:sz w:val="52"/>
          <w:szCs w:val="52"/>
          <w:lang w:eastAsia="ua-UA"/>
        </w:rPr>
        <w:t>Що має бути у школі для домедичної допомоги</w:t>
      </w:r>
    </w:p>
    <w:p w14:paraId="00A21983" w14:textId="74222C2C"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p>
    <w:p w14:paraId="65B95AB4" w14:textId="77777777" w:rsidR="00CF0786" w:rsidRPr="00A132FE" w:rsidRDefault="00CF0786" w:rsidP="00CF0786">
      <w:pPr>
        <w:shd w:val="clear" w:color="auto" w:fill="FFFFFF"/>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noProof/>
          <w:color w:val="000000"/>
          <w:sz w:val="28"/>
          <w:szCs w:val="28"/>
          <w:lang w:eastAsia="ua-UA"/>
        </w:rPr>
        <w:drawing>
          <wp:inline distT="0" distB="0" distL="0" distR="0" wp14:anchorId="533EBCEB" wp14:editId="28E26EBF">
            <wp:extent cx="10287000" cy="6429375"/>
            <wp:effectExtent l="0" t="0" r="0" b="9525"/>
            <wp:docPr id="1" name="Рисунок 1" descr="https://eo.gov.ua/wp-content/uploads/2021/04/Na-sayt-kheder-1068x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o.gov.ua/wp-content/uploads/2021/04/Na-sayt-kheder-1068x63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0" cy="6429375"/>
                    </a:xfrm>
                    <a:prstGeom prst="rect">
                      <a:avLst/>
                    </a:prstGeom>
                    <a:noFill/>
                    <a:ln>
                      <a:noFill/>
                    </a:ln>
                  </pic:spPr>
                </pic:pic>
              </a:graphicData>
            </a:graphic>
          </wp:inline>
        </w:drawing>
      </w:r>
    </w:p>
    <w:p w14:paraId="12D99A5D" w14:textId="77777777" w:rsidR="00CF0786" w:rsidRPr="00A132FE" w:rsidRDefault="00CF0786" w:rsidP="00CF0786">
      <w:pPr>
        <w:spacing w:after="0" w:line="240" w:lineRule="atLeast"/>
        <w:jc w:val="center"/>
        <w:textAlignment w:val="baseline"/>
        <w:outlineLvl w:val="1"/>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МОЗ оновило перелік для шкільних медпунктів</w:t>
      </w:r>
    </w:p>
    <w:p w14:paraId="4103A11A"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Основне право, дотримання якого має бути гарантованим усім учасникам освітнього процесу – це право на життя та здоров’я. </w:t>
      </w:r>
    </w:p>
    <w:p w14:paraId="43482894"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 xml:space="preserve">Якщо у закладі освіти трапляється нещасний випадок чи раптово погіршується стан здоров’я учня або будь-кого із працівників, критичне значення має вчасне надання домедичної допомоги. Надання такої допомоги залежить не лише від професійності медичного працівника </w:t>
      </w:r>
      <w:r w:rsidRPr="00A132FE">
        <w:rPr>
          <w:rFonts w:ascii="Times New Roman" w:eastAsia="Times New Roman" w:hAnsi="Times New Roman" w:cs="Times New Roman"/>
          <w:color w:val="000000"/>
          <w:sz w:val="28"/>
          <w:szCs w:val="28"/>
          <w:bdr w:val="none" w:sz="0" w:space="0" w:color="auto" w:frame="1"/>
          <w:lang w:eastAsia="ua-UA"/>
        </w:rPr>
        <w:lastRenderedPageBreak/>
        <w:t>закладу освіти, а й від наявності в медпункті та інших приміщеннях закладу освіти  усіх обов’язкових аптечок і їхнього забезпечення необхідними ліками та медичними виробами.</w:t>
      </w:r>
    </w:p>
    <w:p w14:paraId="42499034" w14:textId="5E057889" w:rsidR="00CF0786" w:rsidRDefault="00CF0786" w:rsidP="00CF0786">
      <w:pPr>
        <w:spacing w:after="0" w:line="240" w:lineRule="auto"/>
        <w:textAlignment w:val="baseline"/>
        <w:rPr>
          <w:rFonts w:ascii="Times New Roman" w:eastAsia="Times New Roman" w:hAnsi="Times New Roman" w:cs="Times New Roman"/>
          <w:color w:val="000000"/>
          <w:sz w:val="28"/>
          <w:szCs w:val="28"/>
          <w:bdr w:val="none" w:sz="0" w:space="0" w:color="auto" w:frame="1"/>
          <w:lang w:eastAsia="ua-UA"/>
        </w:rPr>
      </w:pPr>
      <w:r w:rsidRPr="00A132FE">
        <w:rPr>
          <w:rFonts w:ascii="Times New Roman" w:eastAsia="Times New Roman" w:hAnsi="Times New Roman" w:cs="Times New Roman"/>
          <w:color w:val="000000"/>
          <w:sz w:val="28"/>
          <w:szCs w:val="28"/>
          <w:bdr w:val="none" w:sz="0" w:space="0" w:color="auto" w:frame="1"/>
          <w:lang w:eastAsia="ua-UA"/>
        </w:rPr>
        <w:t>Міністерство охорони здоров’я України затвердило </w:t>
      </w:r>
      <w:hyperlink r:id="rId6" w:history="1">
        <w:r w:rsidRPr="00A132FE">
          <w:rPr>
            <w:rFonts w:ascii="Times New Roman" w:eastAsia="Times New Roman" w:hAnsi="Times New Roman" w:cs="Times New Roman"/>
            <w:color w:val="0CCCCC"/>
            <w:sz w:val="28"/>
            <w:szCs w:val="28"/>
            <w:bdr w:val="none" w:sz="0" w:space="0" w:color="auto" w:frame="1"/>
            <w:lang w:eastAsia="ua-UA"/>
          </w:rPr>
          <w:t>“Примірний перелік медичних виробів, лікарських засобів та інших матеріалів, які повинні бути у складі медичної укладки для надання медичної допомоги у медичному пункті закладів загальної середньої освіти”</w:t>
        </w:r>
      </w:hyperlink>
      <w:r w:rsidRPr="00A132FE">
        <w:rPr>
          <w:rFonts w:ascii="Times New Roman" w:eastAsia="Times New Roman" w:hAnsi="Times New Roman" w:cs="Times New Roman"/>
          <w:color w:val="000000"/>
          <w:sz w:val="28"/>
          <w:szCs w:val="28"/>
          <w:bdr w:val="none" w:sz="0" w:space="0" w:color="auto" w:frame="1"/>
          <w:lang w:eastAsia="ua-UA"/>
        </w:rPr>
        <w:t> – наказ від 06.04.2021 № 637.</w:t>
      </w:r>
    </w:p>
    <w:p w14:paraId="12EE16FC" w14:textId="77777777" w:rsidR="00A132FE" w:rsidRPr="00A132FE" w:rsidRDefault="00A132FE" w:rsidP="00CF0786">
      <w:pPr>
        <w:spacing w:after="0" w:line="240" w:lineRule="auto"/>
        <w:textAlignment w:val="baseline"/>
        <w:rPr>
          <w:rFonts w:ascii="Times New Roman" w:eastAsia="Times New Roman" w:hAnsi="Times New Roman" w:cs="Times New Roman"/>
          <w:color w:val="000000"/>
          <w:sz w:val="28"/>
          <w:szCs w:val="28"/>
          <w:lang w:eastAsia="ua-UA"/>
        </w:rPr>
      </w:pPr>
    </w:p>
    <w:p w14:paraId="1B2DFDF3" w14:textId="4BCAF035" w:rsidR="00CF0786" w:rsidRPr="00A132FE" w:rsidRDefault="00A132FE" w:rsidP="00CF0786">
      <w:pPr>
        <w:spacing w:after="0" w:line="240" w:lineRule="atLeast"/>
        <w:textAlignment w:val="baseline"/>
        <w:outlineLvl w:val="2"/>
        <w:rPr>
          <w:rFonts w:ascii="Times New Roman" w:eastAsia="Times New Roman" w:hAnsi="Times New Roman" w:cs="Times New Roman"/>
          <w:color w:val="000000"/>
          <w:sz w:val="28"/>
          <w:szCs w:val="28"/>
          <w:lang w:eastAsia="ua-UA"/>
        </w:rPr>
      </w:pPr>
      <w:r>
        <w:rPr>
          <w:rFonts w:ascii="Times New Roman" w:eastAsia="Times New Roman" w:hAnsi="Times New Roman" w:cs="Times New Roman"/>
          <w:b/>
          <w:bCs/>
          <w:color w:val="000000"/>
          <w:sz w:val="28"/>
          <w:szCs w:val="28"/>
          <w:bdr w:val="none" w:sz="0" w:space="0" w:color="auto" w:frame="1"/>
          <w:lang w:val="uk-UA" w:eastAsia="ua-UA"/>
        </w:rPr>
        <w:t xml:space="preserve">         </w:t>
      </w:r>
      <w:bookmarkStart w:id="0" w:name="_GoBack"/>
      <w:bookmarkEnd w:id="0"/>
      <w:r w:rsidR="00CF0786" w:rsidRPr="00A132FE">
        <w:rPr>
          <w:rFonts w:ascii="Times New Roman" w:eastAsia="Times New Roman" w:hAnsi="Times New Roman" w:cs="Times New Roman"/>
          <w:b/>
          <w:bCs/>
          <w:color w:val="000000"/>
          <w:sz w:val="28"/>
          <w:szCs w:val="28"/>
          <w:bdr w:val="none" w:sz="0" w:space="0" w:color="auto" w:frame="1"/>
          <w:lang w:eastAsia="ua-UA"/>
        </w:rPr>
        <w:t>ЩО МАЄ БУТИ В АПТЕЧЦІ ШКІЛЬНОГО МЕДПУНКТУ</w:t>
      </w:r>
    </w:p>
    <w:p w14:paraId="4E740BB3"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noProof/>
          <w:color w:val="000000"/>
          <w:sz w:val="28"/>
          <w:szCs w:val="28"/>
          <w:lang w:eastAsia="ua-UA"/>
        </w:rPr>
        <w:drawing>
          <wp:inline distT="0" distB="0" distL="0" distR="0" wp14:anchorId="11BF5408" wp14:editId="740764AF">
            <wp:extent cx="6629400" cy="3933825"/>
            <wp:effectExtent l="0" t="0" r="0" b="9525"/>
            <wp:docPr id="2" name="Рисунок 2" descr="https://eo.gov.ua/wp-content/uploads/2021/04/Sklad-aptechky-696x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o.gov.ua/wp-content/uploads/2021/04/Sklad-aptechky-696x41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3933825"/>
                    </a:xfrm>
                    <a:prstGeom prst="rect">
                      <a:avLst/>
                    </a:prstGeom>
                    <a:noFill/>
                    <a:ln>
                      <a:noFill/>
                    </a:ln>
                  </pic:spPr>
                </pic:pic>
              </a:graphicData>
            </a:graphic>
          </wp:inline>
        </w:drawing>
      </w:r>
    </w:p>
    <w:p w14:paraId="54F1A340"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Відповідно до наказу МОЗ № 637 від 06.04.2021 року </w:t>
      </w:r>
      <w:hyperlink r:id="rId8"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Примірного переліку медичних виробів, лікарських засобів та інших матеріалів, які повинні бути у складі медичної укладки для надання медичної допомоги у медичному пункті закладу освіти” </w:t>
        </w:r>
      </w:hyperlink>
      <w:r w:rsidRPr="00A132FE">
        <w:rPr>
          <w:rFonts w:ascii="Times New Roman" w:eastAsia="Times New Roman" w:hAnsi="Times New Roman" w:cs="Times New Roman"/>
          <w:b/>
          <w:bCs/>
          <w:color w:val="000000"/>
          <w:sz w:val="28"/>
          <w:szCs w:val="28"/>
          <w:bdr w:val="none" w:sz="0" w:space="0" w:color="auto" w:frame="1"/>
          <w:lang w:eastAsia="ua-UA"/>
        </w:rPr>
        <w:t>в медпункті закладу освіти мають бути</w:t>
      </w:r>
      <w:r w:rsidRPr="00A132FE">
        <w:rPr>
          <w:rFonts w:ascii="Times New Roman" w:eastAsia="Times New Roman" w:hAnsi="Times New Roman" w:cs="Times New Roman"/>
          <w:color w:val="000000"/>
          <w:sz w:val="28"/>
          <w:szCs w:val="28"/>
          <w:bdr w:val="none" w:sz="0" w:space="0" w:color="auto" w:frame="1"/>
          <w:lang w:eastAsia="ua-UA"/>
        </w:rPr>
        <w:t>:</w:t>
      </w:r>
    </w:p>
    <w:p w14:paraId="5510A431"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рукавички оглядові нітрилові нестерильні (різних розмірів) – 10 пар;</w:t>
      </w:r>
    </w:p>
    <w:p w14:paraId="7A77D2C0"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шприци 2, 5 та 20 мл – по 5 штук кожного об’єму;</w:t>
      </w:r>
    </w:p>
    <w:p w14:paraId="61DCFF9E"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катетер внутрішньовенний різних розмірів (16G-22G) – по 2 штуки кожного розміру та пластир для його фіксації (3 штуки);</w:t>
      </w:r>
    </w:p>
    <w:p w14:paraId="76473194"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20 спиртових серветок; 10 стерильних марлевих серветок розміром не менше 10х15 см;</w:t>
      </w:r>
    </w:p>
    <w:p w14:paraId="2445EB29"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lastRenderedPageBreak/>
        <w:t>лейкопластир: 1 на нетканій основі завдовжки 3-5 м, завширшки 2-3 см; 1 гіпоалергенний, завширшки не менше 2,5 см, завдовжки від 5 м; 20 бактерицидних розміром не менше 1,9х7,0 см;</w:t>
      </w:r>
    </w:p>
    <w:p w14:paraId="295B490E"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бинт:  2 еластичних нестерильних, завширшки 8-15 см, завдовжки 2-3 метри; 5 марлевих нестерильних завширшки не менше 10 см, завдовжки від 5 м;</w:t>
      </w:r>
    </w:p>
    <w:p w14:paraId="2E0E6AAA" w14:textId="77777777" w:rsidR="00CF0786" w:rsidRPr="00A132FE" w:rsidRDefault="00CF0786" w:rsidP="00CF0786">
      <w:pPr>
        <w:numPr>
          <w:ilvl w:val="0"/>
          <w:numId w:val="1"/>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5 ампул розчину для ін’єкцій Glucose (глюкози), 0,4 г/мл по 10 мл або по 20 мл в ампулах; по 10 ампул Diphenhydramine (дифенгідраміну): 10 мг/мл по 1 мл в ампулах та Epinephrine (епінефрину): 1,8 мг/мл або 1,82 мг/мл, або 1,0 мг/мл по 1 мл в ампулах.</w:t>
      </w:r>
    </w:p>
    <w:p w14:paraId="7A1EC7A8"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Також у медпункті має бути:</w:t>
      </w:r>
    </w:p>
    <w:p w14:paraId="09DE7850"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 по дві:</w:t>
      </w:r>
    </w:p>
    <w:p w14:paraId="36BA4757" w14:textId="77777777" w:rsidR="00CF0786" w:rsidRPr="00A132FE" w:rsidRDefault="00CF0786" w:rsidP="00CF0786">
      <w:pPr>
        <w:numPr>
          <w:ilvl w:val="0"/>
          <w:numId w:val="2"/>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маски-клапани для штучної вентиляції легень;</w:t>
      </w:r>
    </w:p>
    <w:p w14:paraId="234FA9E0" w14:textId="77777777" w:rsidR="00CF0786" w:rsidRPr="00A132FE" w:rsidRDefault="00CF0786" w:rsidP="00CF0786">
      <w:pPr>
        <w:numPr>
          <w:ilvl w:val="0"/>
          <w:numId w:val="2"/>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системи для переливання інфузійних розчинів;</w:t>
      </w:r>
    </w:p>
    <w:p w14:paraId="4234C4FA" w14:textId="77777777" w:rsidR="00CF0786" w:rsidRPr="00A132FE" w:rsidRDefault="00CF0786" w:rsidP="00CF0786">
      <w:pPr>
        <w:numPr>
          <w:ilvl w:val="0"/>
          <w:numId w:val="2"/>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шини на кінцівку для надання першої допомоги;</w:t>
      </w:r>
    </w:p>
    <w:p w14:paraId="7D75730C"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 по два:</w:t>
      </w:r>
    </w:p>
    <w:p w14:paraId="1DCB9776" w14:textId="77777777" w:rsidR="00CF0786" w:rsidRPr="00A132FE" w:rsidRDefault="00CF0786" w:rsidP="00CF0786">
      <w:pPr>
        <w:numPr>
          <w:ilvl w:val="0"/>
          <w:numId w:val="3"/>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механічні вироби для зупинки кровотечі (турнікет типу CAT або типу SWAT);</w:t>
      </w:r>
    </w:p>
    <w:p w14:paraId="267E4656" w14:textId="77777777" w:rsidR="00CF0786" w:rsidRPr="00A132FE" w:rsidRDefault="00CF0786" w:rsidP="00CF0786">
      <w:pPr>
        <w:numPr>
          <w:ilvl w:val="0"/>
          <w:numId w:val="3"/>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розчини Sodium chloride (натрію хлорид) для інфузій 9 мг/мл, 400 мл або 500 мл в полімерних контейнерах (пакетах) або полімерних флаконах (пляшках);</w:t>
      </w:r>
    </w:p>
    <w:p w14:paraId="555D1B1F" w14:textId="77777777" w:rsidR="00CF0786" w:rsidRPr="00A132FE" w:rsidRDefault="00CF0786" w:rsidP="00CF0786">
      <w:pPr>
        <w:numPr>
          <w:ilvl w:val="0"/>
          <w:numId w:val="3"/>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термометри (для вимірювання температури тіла), в тому числі цифровий або інфрачервоний. </w:t>
      </w:r>
    </w:p>
    <w:p w14:paraId="6FE651D8"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Також для надання домедичної допомоги, перевірки стану дитини у медичному пункті </w:t>
      </w:r>
      <w:r w:rsidRPr="00A132FE">
        <w:rPr>
          <w:rFonts w:ascii="Times New Roman" w:eastAsia="Times New Roman" w:hAnsi="Times New Roman" w:cs="Times New Roman"/>
          <w:b/>
          <w:bCs/>
          <w:color w:val="000000"/>
          <w:sz w:val="28"/>
          <w:szCs w:val="28"/>
          <w:bdr w:val="none" w:sz="0" w:space="0" w:color="auto" w:frame="1"/>
          <w:lang w:eastAsia="ua-UA"/>
        </w:rPr>
        <w:t>повинно бути по одному</w:t>
      </w:r>
      <w:r w:rsidRPr="00A132FE">
        <w:rPr>
          <w:rFonts w:ascii="Times New Roman" w:eastAsia="Times New Roman" w:hAnsi="Times New Roman" w:cs="Times New Roman"/>
          <w:color w:val="000000"/>
          <w:sz w:val="28"/>
          <w:szCs w:val="28"/>
          <w:bdr w:val="none" w:sz="0" w:space="0" w:color="auto" w:frame="1"/>
          <w:lang w:eastAsia="ua-UA"/>
        </w:rPr>
        <w:t>:</w:t>
      </w:r>
    </w:p>
    <w:p w14:paraId="71DEC6A6"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венозному джгутові; </w:t>
      </w:r>
    </w:p>
    <w:p w14:paraId="0A77BFD3"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Salbutamol (сальбутамолу), інгаляції під тиском, або Аерозолю для інгаляцій, дозованого (100 мкг/доза по 200 доз у контейнерах або у балонах); </w:t>
      </w:r>
    </w:p>
    <w:p w14:paraId="2F06BC53"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флакону, контейнеру Chlorhexidine (хлоргексидину біглюконату), розчин для зовнішнього застосування 0,05% по 50 мл або 100 мл або по 200 мл у флаконах, контейнерах; </w:t>
      </w:r>
    </w:p>
    <w:p w14:paraId="3073783F"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нашкірному розчину Povidone-iodine (повідон-йоду), 100 мг/мл (10 %), по 30 мл або по 50 мл або по 100 мл у флаконах; </w:t>
      </w:r>
    </w:p>
    <w:p w14:paraId="58D8D649"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дезінфекційному засобу для обробки рук і шкіри 100 мл; </w:t>
      </w:r>
    </w:p>
    <w:p w14:paraId="11A1A0B7"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lastRenderedPageBreak/>
        <w:t>футлярі або сумці-укладці (саквояжеві) для зберігання, транспортування медичних виробів; </w:t>
      </w:r>
    </w:p>
    <w:p w14:paraId="009F3911"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тонометру з малими, середніми і великими манжетами; </w:t>
      </w:r>
    </w:p>
    <w:p w14:paraId="775CF792"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портативному пульсоксиметру;</w:t>
      </w:r>
    </w:p>
    <w:p w14:paraId="4492974C"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пінцету анатомічному;  </w:t>
      </w:r>
    </w:p>
    <w:p w14:paraId="46C31C58" w14:textId="77777777" w:rsidR="00CF0786" w:rsidRPr="00A132FE" w:rsidRDefault="00CF0786" w:rsidP="00CF0786">
      <w:pPr>
        <w:numPr>
          <w:ilvl w:val="0"/>
          <w:numId w:val="4"/>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стетофонендоскопу та одні медичні тактичні ножиці.</w:t>
      </w:r>
    </w:p>
    <w:p w14:paraId="46233EB9"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Варто пам’ятати, що перед тим, як давати дитині якісь ліки, потрібно зв’язатися з батьками дитини і запитати дозвіл на це.</w:t>
      </w:r>
    </w:p>
    <w:p w14:paraId="512A287B" w14:textId="77777777" w:rsidR="00CF0786" w:rsidRPr="00A132FE" w:rsidRDefault="00CF0786" w:rsidP="00CF0786">
      <w:pPr>
        <w:spacing w:after="0" w:line="240" w:lineRule="atLeast"/>
        <w:textAlignment w:val="baseline"/>
        <w:outlineLvl w:val="2"/>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У ЯКИХ НАВЧАЛЬНИХ ПРИМІЩЕННЯХ МАЮТЬ БУТИ АПТЕЧКИ</w:t>
      </w:r>
    </w:p>
    <w:p w14:paraId="595FD864"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noProof/>
          <w:color w:val="000000"/>
          <w:sz w:val="28"/>
          <w:szCs w:val="28"/>
          <w:lang w:eastAsia="ua-UA"/>
        </w:rPr>
        <w:drawing>
          <wp:inline distT="0" distB="0" distL="0" distR="0" wp14:anchorId="5AAE8D1A" wp14:editId="7567FE47">
            <wp:extent cx="6629400" cy="3924300"/>
            <wp:effectExtent l="0" t="0" r="0" b="0"/>
            <wp:docPr id="3" name="Рисунок 3" descr="https://eo.gov.ua/wp-content/uploads/2021/04/Kabinety-696x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o.gov.ua/wp-content/uploads/2021/04/Kabinety-696x41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3924300"/>
                    </a:xfrm>
                    <a:prstGeom prst="rect">
                      <a:avLst/>
                    </a:prstGeom>
                    <a:noFill/>
                    <a:ln>
                      <a:noFill/>
                    </a:ln>
                  </pic:spPr>
                </pic:pic>
              </a:graphicData>
            </a:graphic>
          </wp:inline>
        </w:drawing>
      </w:r>
    </w:p>
    <w:p w14:paraId="4CFD48C6"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Нормативно-правовими актами визначається, що медична аптечка обов’язково має розміщуватися:</w:t>
      </w:r>
    </w:p>
    <w:p w14:paraId="2BDDA29B" w14:textId="77777777" w:rsidR="00CF0786" w:rsidRPr="00A132FE" w:rsidRDefault="00CF0786" w:rsidP="00CF0786">
      <w:pPr>
        <w:numPr>
          <w:ilvl w:val="0"/>
          <w:numId w:val="5"/>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у кабінетах природничо-математичних дисциплін</w:t>
      </w:r>
      <w:r w:rsidRPr="00A132FE">
        <w:rPr>
          <w:rFonts w:ascii="Times New Roman" w:eastAsia="Times New Roman" w:hAnsi="Times New Roman" w:cs="Times New Roman"/>
          <w:color w:val="000000"/>
          <w:sz w:val="28"/>
          <w:szCs w:val="28"/>
          <w:bdr w:val="none" w:sz="0" w:space="0" w:color="auto" w:frame="1"/>
          <w:lang w:eastAsia="ua-UA"/>
        </w:rPr>
        <w:t>: географії, математики, біології, фізики, хімії. Це передбачається наказом МОН </w:t>
      </w:r>
      <w:hyperlink r:id="rId10"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Положення про навчальні кабінети з природничо-математичних предметів загальноосвітніх навчальних закладів”</w:t>
        </w:r>
      </w:hyperlink>
      <w:r w:rsidRPr="00A132FE">
        <w:rPr>
          <w:rFonts w:ascii="Times New Roman" w:eastAsia="Times New Roman" w:hAnsi="Times New Roman" w:cs="Times New Roman"/>
          <w:color w:val="000000"/>
          <w:sz w:val="28"/>
          <w:szCs w:val="28"/>
          <w:bdr w:val="none" w:sz="0" w:space="0" w:color="auto" w:frame="1"/>
          <w:lang w:eastAsia="ua-UA"/>
        </w:rPr>
        <w:t> від 14.12.2012 № 1423 у Додатку 2). Наявність аптечки у кабінетах фізики та хімії також додатково регламентується </w:t>
      </w:r>
      <w:hyperlink r:id="rId11" w:history="1">
        <w:r w:rsidRPr="00A132FE">
          <w:rPr>
            <w:rFonts w:ascii="Times New Roman" w:eastAsia="Times New Roman" w:hAnsi="Times New Roman" w:cs="Times New Roman"/>
            <w:color w:val="0CCCCC"/>
            <w:sz w:val="28"/>
            <w:szCs w:val="28"/>
            <w:bdr w:val="none" w:sz="0" w:space="0" w:color="auto" w:frame="1"/>
            <w:lang w:eastAsia="ua-UA"/>
          </w:rPr>
          <w:t>наказом Міністерства надзвичайних ситуацій України від 16.07.2012 № 992</w:t>
        </w:r>
      </w:hyperlink>
      <w:r w:rsidRPr="00A132FE">
        <w:rPr>
          <w:rFonts w:ascii="Times New Roman" w:eastAsia="Times New Roman" w:hAnsi="Times New Roman" w:cs="Times New Roman"/>
          <w:color w:val="000000"/>
          <w:sz w:val="28"/>
          <w:szCs w:val="28"/>
          <w:bdr w:val="none" w:sz="0" w:space="0" w:color="auto" w:frame="1"/>
          <w:lang w:eastAsia="ua-UA"/>
        </w:rPr>
        <w:t>;</w:t>
      </w:r>
    </w:p>
    <w:p w14:paraId="70B3E381" w14:textId="77777777" w:rsidR="00CF0786" w:rsidRPr="00A132FE" w:rsidRDefault="00CF0786" w:rsidP="00CF0786">
      <w:pPr>
        <w:numPr>
          <w:ilvl w:val="0"/>
          <w:numId w:val="5"/>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lastRenderedPageBreak/>
        <w:t>у місцях спортивних занять (спортзалах)</w:t>
      </w:r>
      <w:r w:rsidRPr="00A132FE">
        <w:rPr>
          <w:rFonts w:ascii="Times New Roman" w:eastAsia="Times New Roman" w:hAnsi="Times New Roman" w:cs="Times New Roman"/>
          <w:color w:val="000000"/>
          <w:sz w:val="28"/>
          <w:szCs w:val="28"/>
          <w:bdr w:val="none" w:sz="0" w:space="0" w:color="auto" w:frame="1"/>
          <w:lang w:eastAsia="ua-UA"/>
        </w:rPr>
        <w:t>. Це визначається наказом МОН від 01.06.2010 № 521 </w:t>
      </w:r>
      <w:hyperlink r:id="rId12"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Правил безпеки під час проведення занять з фізичної культури і спорту в загальноосвітніх навчальних закладах”</w:t>
        </w:r>
      </w:hyperlink>
      <w:r w:rsidRPr="00A132FE">
        <w:rPr>
          <w:rFonts w:ascii="Times New Roman" w:eastAsia="Times New Roman" w:hAnsi="Times New Roman" w:cs="Times New Roman"/>
          <w:color w:val="000000"/>
          <w:sz w:val="28"/>
          <w:szCs w:val="28"/>
          <w:bdr w:val="none" w:sz="0" w:space="0" w:color="auto" w:frame="1"/>
          <w:lang w:eastAsia="ua-UA"/>
        </w:rPr>
        <w:t> у Додатку 1;</w:t>
      </w:r>
    </w:p>
    <w:p w14:paraId="402BCBD7" w14:textId="77777777" w:rsidR="00CF0786" w:rsidRPr="00A132FE" w:rsidRDefault="00CF0786" w:rsidP="00CF0786">
      <w:pPr>
        <w:numPr>
          <w:ilvl w:val="0"/>
          <w:numId w:val="5"/>
        </w:numPr>
        <w:spacing w:after="0" w:line="390" w:lineRule="atLeast"/>
        <w:ind w:left="0"/>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у шкільних майстернях</w:t>
      </w:r>
      <w:r w:rsidRPr="00A132FE">
        <w:rPr>
          <w:rFonts w:ascii="Times New Roman" w:eastAsia="Times New Roman" w:hAnsi="Times New Roman" w:cs="Times New Roman"/>
          <w:color w:val="000000"/>
          <w:sz w:val="28"/>
          <w:szCs w:val="28"/>
          <w:bdr w:val="none" w:sz="0" w:space="0" w:color="auto" w:frame="1"/>
          <w:lang w:eastAsia="ua-UA"/>
        </w:rPr>
        <w:t>. Це передбачається наказом МОН </w:t>
      </w:r>
      <w:hyperlink r:id="rId13"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Правил безпеки під час занять у навчальних і навчально-виробничих майстернях навчальних закладів системи загальної середньої освіти”</w:t>
        </w:r>
      </w:hyperlink>
      <w:r w:rsidRPr="00A132FE">
        <w:rPr>
          <w:rFonts w:ascii="Times New Roman" w:eastAsia="Times New Roman" w:hAnsi="Times New Roman" w:cs="Times New Roman"/>
          <w:color w:val="000000"/>
          <w:sz w:val="28"/>
          <w:szCs w:val="28"/>
          <w:bdr w:val="none" w:sz="0" w:space="0" w:color="auto" w:frame="1"/>
          <w:lang w:eastAsia="ua-UA"/>
        </w:rPr>
        <w:t> від 13.08.2007 № 730 у Додаткку 2 до підпункту 2.1.22. </w:t>
      </w:r>
    </w:p>
    <w:p w14:paraId="6B37DA3C"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Це ті навчальні приміщення, в яких існує підвищений ризик травматизації учнів під час занять або завдання іншої шкоди здоров’ю. Адже в кабінетах хімії, фізики, біології, майстернях учні працюють над різними дослідами, використовують обладнання та взаємодіють із речовинами, верстатами, через необережне поводження з якими можна завдати шкоди власному здоров’ю або здоров’ю інших учнів. </w:t>
      </w:r>
    </w:p>
    <w:p w14:paraId="58BC158C"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Аптечка в кабінеті інформатики не вимагається. Наказом МОН </w:t>
      </w:r>
      <w:hyperlink r:id="rId14"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Положення про кабінет інформатики та інформаційно-комунікаційних технологій навчання загальноосвітніх навчальних закладів”</w:t>
        </w:r>
      </w:hyperlink>
      <w:r w:rsidRPr="00A132FE">
        <w:rPr>
          <w:rFonts w:ascii="Times New Roman" w:eastAsia="Times New Roman" w:hAnsi="Times New Roman" w:cs="Times New Roman"/>
          <w:color w:val="000000"/>
          <w:sz w:val="28"/>
          <w:szCs w:val="28"/>
          <w:bdr w:val="none" w:sz="0" w:space="0" w:color="auto" w:frame="1"/>
          <w:lang w:eastAsia="ua-UA"/>
        </w:rPr>
        <w:t> це не передбачено. </w:t>
      </w:r>
    </w:p>
    <w:p w14:paraId="42938F79" w14:textId="77777777" w:rsidR="00CF0786" w:rsidRPr="00A132FE" w:rsidRDefault="00CF0786" w:rsidP="00CF0786">
      <w:pPr>
        <w:spacing w:after="0" w:line="240" w:lineRule="atLeast"/>
        <w:textAlignment w:val="baseline"/>
        <w:outlineLvl w:val="2"/>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b/>
          <w:bCs/>
          <w:color w:val="000000"/>
          <w:sz w:val="28"/>
          <w:szCs w:val="28"/>
          <w:bdr w:val="none" w:sz="0" w:space="0" w:color="auto" w:frame="1"/>
          <w:lang w:eastAsia="ua-UA"/>
        </w:rPr>
        <w:t>ПОРІВНЯЛЬНА ТАБЛИЦЯ: ЩО ПОВИННО БУТИ В МЕДПУНКТІ ТА АПТЕЧКАХ НАВЧАЛЬНИХ ПРИМІЩЕНЬ</w:t>
      </w:r>
    </w:p>
    <w:p w14:paraId="31F3F936"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noProof/>
          <w:color w:val="000000"/>
          <w:sz w:val="28"/>
          <w:szCs w:val="28"/>
          <w:lang w:eastAsia="ua-UA"/>
        </w:rPr>
        <w:drawing>
          <wp:inline distT="0" distB="0" distL="0" distR="0" wp14:anchorId="3192CFD9" wp14:editId="683C7A97">
            <wp:extent cx="6629400" cy="3924300"/>
            <wp:effectExtent l="0" t="0" r="0" b="0"/>
            <wp:docPr id="4" name="Рисунок 4" descr="https://eo.gov.ua/wp-content/uploads/2021/04/Tam-de-porivnialna-tablychka-696x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o.gov.ua/wp-content/uploads/2021/04/Tam-de-porivnialna-tablychka-696x41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3924300"/>
                    </a:xfrm>
                    <a:prstGeom prst="rect">
                      <a:avLst/>
                    </a:prstGeom>
                    <a:noFill/>
                    <a:ln>
                      <a:noFill/>
                    </a:ln>
                  </pic:spPr>
                </pic:pic>
              </a:graphicData>
            </a:graphic>
          </wp:inline>
        </w:drawing>
      </w:r>
    </w:p>
    <w:p w14:paraId="77AC67CD"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 xml:space="preserve">Ми підготували порівняльну таблицю, в якій можна ознайомитися із примірним переліком медикаментів, перев’язувальних засобів і приладдя </w:t>
      </w:r>
      <w:r w:rsidRPr="00A132FE">
        <w:rPr>
          <w:rFonts w:ascii="Times New Roman" w:eastAsia="Times New Roman" w:hAnsi="Times New Roman" w:cs="Times New Roman"/>
          <w:color w:val="000000"/>
          <w:sz w:val="28"/>
          <w:szCs w:val="28"/>
          <w:bdr w:val="none" w:sz="0" w:space="0" w:color="auto" w:frame="1"/>
          <w:lang w:eastAsia="ua-UA"/>
        </w:rPr>
        <w:lastRenderedPageBreak/>
        <w:t>для надання першої долікарської допомоги, які мають бути в медпункті, спортзалах, майстернях та кабінетах математично-природничих дисциплін. </w:t>
      </w:r>
    </w:p>
    <w:p w14:paraId="2C1725D9"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Загалом, зі спільного, як у медпункті, так і в аптечках кабінетів математично-природничих дисциплін, спортзалах та майстернях мають бути бинти, стерильні серветки, розчин йоду, джгут, медичні ножиці, пінцет. У кабінетах математично-природничих дисциплін та спортивних залах склад аптечки ідентичний. В аптечці навчальних майстерень, на відміну від інших, передбачаються, зокрема, таблетки активованого вугілля, мазі від опіків, питна сода. В аптечках кабінетів математично-природничих предметів, спортзалах передбачаються болезаспокійливі засоби, валідол, у медпункті ж таких ліків немає. Натомість у медпункті мають бути, зокрема, шприци, ампули для ін’єкцій, механічні вироби для зупинки кровотечі тощо. </w:t>
      </w:r>
      <w:r w:rsidRPr="00A132FE">
        <w:rPr>
          <w:rFonts w:ascii="Times New Roman" w:eastAsia="Times New Roman" w:hAnsi="Times New Roman" w:cs="Times New Roman"/>
          <w:b/>
          <w:bCs/>
          <w:color w:val="000000"/>
          <w:sz w:val="28"/>
          <w:szCs w:val="28"/>
          <w:bdr w:val="none" w:sz="0" w:space="0" w:color="auto" w:frame="1"/>
          <w:lang w:eastAsia="ua-UA"/>
        </w:rPr>
        <w:t>Докладніше – у порівняльній таблиці:</w:t>
      </w:r>
    </w:p>
    <w:p w14:paraId="0F13D1C6"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lang w:eastAsia="ua-UA"/>
        </w:rPr>
        <w:t> </w:t>
      </w:r>
    </w:p>
    <w:tbl>
      <w:tblPr>
        <w:tblW w:w="1620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5094"/>
        <w:gridCol w:w="5912"/>
        <w:gridCol w:w="5194"/>
      </w:tblGrid>
      <w:tr w:rsidR="00CF0786" w:rsidRPr="00A132FE" w14:paraId="4B5D345D" w14:textId="77777777" w:rsidTr="00CF0786">
        <w:tc>
          <w:tcPr>
            <w:tcW w:w="0" w:type="auto"/>
            <w:tcBorders>
              <w:top w:val="single" w:sz="6" w:space="0" w:color="EEEEEE"/>
            </w:tcBorders>
            <w:tcMar>
              <w:top w:w="90" w:type="dxa"/>
              <w:left w:w="360" w:type="dxa"/>
              <w:bottom w:w="90" w:type="dxa"/>
              <w:right w:w="360" w:type="dxa"/>
            </w:tcMar>
            <w:vAlign w:val="center"/>
            <w:hideMark/>
          </w:tcPr>
          <w:p w14:paraId="0663478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b/>
                <w:bCs/>
                <w:sz w:val="28"/>
                <w:szCs w:val="28"/>
                <w:bdr w:val="none" w:sz="0" w:space="0" w:color="auto" w:frame="1"/>
                <w:lang w:eastAsia="ua-UA"/>
              </w:rPr>
              <w:t>Медпункт</w:t>
            </w:r>
          </w:p>
          <w:p w14:paraId="29BC2BDC" w14:textId="77777777" w:rsidR="00CF0786" w:rsidRPr="00A132FE" w:rsidRDefault="00CF0786" w:rsidP="00CF0786">
            <w:pPr>
              <w:spacing w:after="0" w:line="240" w:lineRule="auto"/>
              <w:textAlignment w:val="baseline"/>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(згідно з новим </w:t>
            </w:r>
            <w:hyperlink r:id="rId16" w:history="1">
              <w:r w:rsidRPr="00A132FE">
                <w:rPr>
                  <w:rFonts w:ascii="Times New Roman" w:eastAsia="Times New Roman" w:hAnsi="Times New Roman" w:cs="Times New Roman"/>
                  <w:color w:val="0CCCCC"/>
                  <w:sz w:val="28"/>
                  <w:szCs w:val="28"/>
                  <w:bdr w:val="none" w:sz="0" w:space="0" w:color="auto" w:frame="1"/>
                  <w:lang w:eastAsia="ua-UA"/>
                </w:rPr>
                <w:t>наказом МОЗ №637 від 06.04.2021 року)</w:t>
              </w:r>
            </w:hyperlink>
            <w:r w:rsidRPr="00A132FE">
              <w:rPr>
                <w:rFonts w:ascii="Times New Roman" w:eastAsia="Times New Roman" w:hAnsi="Times New Roman" w:cs="Times New Roman"/>
                <w:sz w:val="28"/>
                <w:szCs w:val="28"/>
                <w:bdr w:val="none" w:sz="0" w:space="0" w:color="auto" w:frame="1"/>
                <w:lang w:eastAsia="ua-UA"/>
              </w:rPr>
              <w:t> </w:t>
            </w:r>
          </w:p>
        </w:tc>
        <w:tc>
          <w:tcPr>
            <w:tcW w:w="0" w:type="auto"/>
            <w:tcBorders>
              <w:top w:val="single" w:sz="6" w:space="0" w:color="EEEEEE"/>
            </w:tcBorders>
            <w:tcMar>
              <w:top w:w="90" w:type="dxa"/>
              <w:left w:w="360" w:type="dxa"/>
              <w:bottom w:w="90" w:type="dxa"/>
              <w:right w:w="360" w:type="dxa"/>
            </w:tcMar>
            <w:vAlign w:val="center"/>
            <w:hideMark/>
          </w:tcPr>
          <w:p w14:paraId="32EB6FA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b/>
                <w:bCs/>
                <w:sz w:val="28"/>
                <w:szCs w:val="28"/>
                <w:bdr w:val="none" w:sz="0" w:space="0" w:color="auto" w:frame="1"/>
                <w:lang w:eastAsia="ua-UA"/>
              </w:rPr>
              <w:t>Кабінети математично-природничих дисциплін, спортзал</w:t>
            </w:r>
            <w:r w:rsidRPr="00A132FE">
              <w:rPr>
                <w:rFonts w:ascii="Times New Roman" w:eastAsia="Times New Roman" w:hAnsi="Times New Roman" w:cs="Times New Roman"/>
                <w:sz w:val="28"/>
                <w:szCs w:val="28"/>
                <w:bdr w:val="none" w:sz="0" w:space="0" w:color="auto" w:frame="1"/>
                <w:lang w:eastAsia="ua-UA"/>
              </w:rPr>
              <w:t> (згідно з </w:t>
            </w:r>
            <w:hyperlink r:id="rId17" w:anchor="Text" w:history="1">
              <w:r w:rsidRPr="00A132FE">
                <w:rPr>
                  <w:rFonts w:ascii="Times New Roman" w:eastAsia="Times New Roman" w:hAnsi="Times New Roman" w:cs="Times New Roman"/>
                  <w:color w:val="0CCCCC"/>
                  <w:sz w:val="28"/>
                  <w:szCs w:val="28"/>
                  <w:bdr w:val="none" w:sz="0" w:space="0" w:color="auto" w:frame="1"/>
                  <w:lang w:eastAsia="ua-UA"/>
                </w:rPr>
                <w:t>Додатком </w:t>
              </w:r>
            </w:hyperlink>
            <w:r w:rsidRPr="00A132FE">
              <w:rPr>
                <w:rFonts w:ascii="Times New Roman" w:eastAsia="Times New Roman" w:hAnsi="Times New Roman" w:cs="Times New Roman"/>
                <w:sz w:val="28"/>
                <w:szCs w:val="28"/>
                <w:bdr w:val="none" w:sz="0" w:space="0" w:color="auto" w:frame="1"/>
                <w:lang w:eastAsia="ua-UA"/>
              </w:rPr>
              <w:t>2 “Положення про навчальні кабінети з природничо-математичних предметів загальноосвітніх навчальних закладів” від  14.12.2012  та Додатку 1 до </w:t>
            </w:r>
            <w:hyperlink r:id="rId18" w:anchor="Text" w:history="1">
              <w:r w:rsidRPr="00A132FE">
                <w:rPr>
                  <w:rFonts w:ascii="Times New Roman" w:eastAsia="Times New Roman" w:hAnsi="Times New Roman" w:cs="Times New Roman"/>
                  <w:color w:val="0CCCCC"/>
                  <w:sz w:val="28"/>
                  <w:szCs w:val="28"/>
                  <w:bdr w:val="none" w:sz="0" w:space="0" w:color="auto" w:frame="1"/>
                  <w:lang w:eastAsia="ua-UA"/>
                </w:rPr>
                <w:t>Правил безпеки під час проведення занять з фізичної культури і спорту в загальноосвітніх навчальних закладах </w:t>
              </w:r>
            </w:hyperlink>
            <w:hyperlink r:id="rId19" w:anchor="Text" w:history="1">
              <w:r w:rsidRPr="00A132FE">
                <w:rPr>
                  <w:rFonts w:ascii="Times New Roman" w:eastAsia="Times New Roman" w:hAnsi="Times New Roman" w:cs="Times New Roman"/>
                  <w:color w:val="0CCCCC"/>
                  <w:sz w:val="28"/>
                  <w:szCs w:val="28"/>
                  <w:bdr w:val="none" w:sz="0" w:space="0" w:color="auto" w:frame="1"/>
                  <w:lang w:eastAsia="ua-UA"/>
                </w:rPr>
                <w:t>від 01.06.2010)</w:t>
              </w:r>
            </w:hyperlink>
          </w:p>
        </w:tc>
        <w:tc>
          <w:tcPr>
            <w:tcW w:w="0" w:type="auto"/>
            <w:tcBorders>
              <w:top w:val="single" w:sz="6" w:space="0" w:color="EEEEEE"/>
            </w:tcBorders>
            <w:tcMar>
              <w:top w:w="90" w:type="dxa"/>
              <w:left w:w="360" w:type="dxa"/>
              <w:bottom w:w="90" w:type="dxa"/>
              <w:right w:w="360" w:type="dxa"/>
            </w:tcMar>
            <w:vAlign w:val="center"/>
            <w:hideMark/>
          </w:tcPr>
          <w:p w14:paraId="0D269C7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b/>
                <w:bCs/>
                <w:sz w:val="28"/>
                <w:szCs w:val="28"/>
                <w:bdr w:val="none" w:sz="0" w:space="0" w:color="auto" w:frame="1"/>
                <w:lang w:eastAsia="ua-UA"/>
              </w:rPr>
              <w:t>Майстерня</w:t>
            </w:r>
          </w:p>
          <w:p w14:paraId="1D4CD89F" w14:textId="77777777" w:rsidR="00CF0786" w:rsidRPr="00A132FE" w:rsidRDefault="00CF0786" w:rsidP="00CF0786">
            <w:pPr>
              <w:spacing w:after="0" w:line="240" w:lineRule="auto"/>
              <w:textAlignment w:val="baseline"/>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(згідно з Додатком 2 до підпункту 2.1.22 </w:t>
            </w:r>
            <w:hyperlink r:id="rId20" w:anchor="Text" w:history="1">
              <w:r w:rsidRPr="00A132FE">
                <w:rPr>
                  <w:rFonts w:ascii="Times New Roman" w:eastAsia="Times New Roman" w:hAnsi="Times New Roman" w:cs="Times New Roman"/>
                  <w:color w:val="0CCCCC"/>
                  <w:sz w:val="28"/>
                  <w:szCs w:val="28"/>
                  <w:bdr w:val="none" w:sz="0" w:space="0" w:color="auto" w:frame="1"/>
                  <w:lang w:eastAsia="ua-UA"/>
                </w:rPr>
                <w:t>Правил    безпеки під час занять    у навчальних і навчально-виробничих  майстернях навчальних       закладів системи загальної середньої освіти</w:t>
              </w:r>
            </w:hyperlink>
            <w:r w:rsidRPr="00A132FE">
              <w:rPr>
                <w:rFonts w:ascii="Times New Roman" w:eastAsia="Times New Roman" w:hAnsi="Times New Roman" w:cs="Times New Roman"/>
                <w:sz w:val="28"/>
                <w:szCs w:val="28"/>
                <w:bdr w:val="none" w:sz="0" w:space="0" w:color="auto" w:frame="1"/>
                <w:lang w:eastAsia="ua-UA"/>
              </w:rPr>
              <w:t> від 13.08.2007)</w:t>
            </w:r>
          </w:p>
          <w:p w14:paraId="281F145E" w14:textId="77777777" w:rsidR="00CF0786" w:rsidRPr="00A132FE" w:rsidRDefault="00CF0786" w:rsidP="00CF0786">
            <w:pPr>
              <w:spacing w:after="0" w:line="240" w:lineRule="auto"/>
              <w:textAlignment w:val="baseline"/>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lang w:eastAsia="ua-UA"/>
              </w:rPr>
              <w:t> </w:t>
            </w:r>
          </w:p>
        </w:tc>
      </w:tr>
      <w:tr w:rsidR="00CF0786" w:rsidRPr="00A132FE" w14:paraId="7E9AC017" w14:textId="77777777" w:rsidTr="00CF0786">
        <w:tc>
          <w:tcPr>
            <w:tcW w:w="0" w:type="auto"/>
            <w:tcBorders>
              <w:top w:val="single" w:sz="6" w:space="0" w:color="EEEEEE"/>
            </w:tcBorders>
            <w:tcMar>
              <w:top w:w="90" w:type="dxa"/>
              <w:left w:w="360" w:type="dxa"/>
              <w:bottom w:w="90" w:type="dxa"/>
              <w:right w:w="360" w:type="dxa"/>
            </w:tcMar>
            <w:vAlign w:val="center"/>
            <w:hideMark/>
          </w:tcPr>
          <w:p w14:paraId="51AEA1E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38738F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Аміаку розчин 10% </w:t>
            </w:r>
          </w:p>
        </w:tc>
        <w:tc>
          <w:tcPr>
            <w:tcW w:w="0" w:type="auto"/>
            <w:tcBorders>
              <w:top w:val="single" w:sz="6" w:space="0" w:color="EEEEEE"/>
            </w:tcBorders>
            <w:tcMar>
              <w:top w:w="90" w:type="dxa"/>
              <w:left w:w="360" w:type="dxa"/>
              <w:bottom w:w="90" w:type="dxa"/>
              <w:right w:w="360" w:type="dxa"/>
            </w:tcMar>
            <w:vAlign w:val="center"/>
            <w:hideMark/>
          </w:tcPr>
          <w:p w14:paraId="65A1788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Розчин аміаку 10%-ний</w:t>
            </w:r>
          </w:p>
        </w:tc>
      </w:tr>
      <w:tr w:rsidR="00CF0786" w:rsidRPr="00A132FE" w14:paraId="16B53DCB" w14:textId="77777777" w:rsidTr="00CF0786">
        <w:tc>
          <w:tcPr>
            <w:tcW w:w="0" w:type="auto"/>
            <w:tcBorders>
              <w:top w:val="single" w:sz="6" w:space="0" w:color="EEEEEE"/>
            </w:tcBorders>
            <w:tcMar>
              <w:top w:w="90" w:type="dxa"/>
              <w:left w:w="360" w:type="dxa"/>
              <w:bottom w:w="90" w:type="dxa"/>
              <w:right w:w="360" w:type="dxa"/>
            </w:tcMar>
            <w:vAlign w:val="center"/>
            <w:hideMark/>
          </w:tcPr>
          <w:p w14:paraId="11C830C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20 спиртових серветок;</w:t>
            </w:r>
          </w:p>
          <w:p w14:paraId="48036CCD" w14:textId="77777777" w:rsidR="00CF0786" w:rsidRPr="00A132FE" w:rsidRDefault="00CF0786" w:rsidP="00CF0786">
            <w:pPr>
              <w:spacing w:after="0" w:line="240" w:lineRule="auto"/>
              <w:textAlignment w:val="baseline"/>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10 стерильних марлевих серветок </w:t>
            </w:r>
          </w:p>
        </w:tc>
        <w:tc>
          <w:tcPr>
            <w:tcW w:w="0" w:type="auto"/>
            <w:tcBorders>
              <w:top w:val="single" w:sz="6" w:space="0" w:color="EEEEEE"/>
            </w:tcBorders>
            <w:tcMar>
              <w:top w:w="90" w:type="dxa"/>
              <w:left w:w="360" w:type="dxa"/>
              <w:bottom w:w="90" w:type="dxa"/>
              <w:right w:w="360" w:type="dxa"/>
            </w:tcMar>
            <w:vAlign w:val="center"/>
            <w:hideMark/>
          </w:tcPr>
          <w:p w14:paraId="4671C4A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Серветки марлеві медичні стерильні</w:t>
            </w:r>
          </w:p>
        </w:tc>
        <w:tc>
          <w:tcPr>
            <w:tcW w:w="0" w:type="auto"/>
            <w:tcBorders>
              <w:top w:val="single" w:sz="6" w:space="0" w:color="EEEEEE"/>
            </w:tcBorders>
            <w:tcMar>
              <w:top w:w="90" w:type="dxa"/>
              <w:left w:w="360" w:type="dxa"/>
              <w:bottom w:w="90" w:type="dxa"/>
              <w:right w:w="360" w:type="dxa"/>
            </w:tcMar>
            <w:vAlign w:val="center"/>
            <w:hideMark/>
          </w:tcPr>
          <w:p w14:paraId="1591D56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серветки стерильні</w:t>
            </w:r>
          </w:p>
        </w:tc>
      </w:tr>
      <w:tr w:rsidR="00CF0786" w:rsidRPr="00A132FE" w14:paraId="6EAC5A21" w14:textId="77777777" w:rsidTr="00CF0786">
        <w:tc>
          <w:tcPr>
            <w:tcW w:w="0" w:type="auto"/>
            <w:tcBorders>
              <w:top w:val="single" w:sz="6" w:space="0" w:color="EEEEEE"/>
            </w:tcBorders>
            <w:tcMar>
              <w:top w:w="90" w:type="dxa"/>
              <w:left w:w="360" w:type="dxa"/>
              <w:bottom w:w="90" w:type="dxa"/>
              <w:right w:w="360" w:type="dxa"/>
            </w:tcMar>
            <w:vAlign w:val="center"/>
            <w:hideMark/>
          </w:tcPr>
          <w:p w14:paraId="4210590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бинт: еластичний </w:t>
            </w:r>
            <w:r w:rsidRPr="00A132FE">
              <w:rPr>
                <w:rFonts w:ascii="Times New Roman" w:eastAsia="Times New Roman" w:hAnsi="Times New Roman" w:cs="Times New Roman"/>
                <w:b/>
                <w:bCs/>
                <w:sz w:val="28"/>
                <w:szCs w:val="28"/>
                <w:bdr w:val="none" w:sz="0" w:space="0" w:color="auto" w:frame="1"/>
                <w:lang w:eastAsia="ua-UA"/>
              </w:rPr>
              <w:t>нестерильний</w:t>
            </w:r>
            <w:r w:rsidRPr="00A132FE">
              <w:rPr>
                <w:rFonts w:ascii="Times New Roman" w:eastAsia="Times New Roman" w:hAnsi="Times New Roman" w:cs="Times New Roman"/>
                <w:sz w:val="28"/>
                <w:szCs w:val="28"/>
                <w:bdr w:val="none" w:sz="0" w:space="0" w:color="auto" w:frame="1"/>
                <w:lang w:eastAsia="ua-UA"/>
              </w:rPr>
              <w:t>; марлевий </w:t>
            </w:r>
            <w:r w:rsidRPr="00A132FE">
              <w:rPr>
                <w:rFonts w:ascii="Times New Roman" w:eastAsia="Times New Roman" w:hAnsi="Times New Roman" w:cs="Times New Roman"/>
                <w:b/>
                <w:bCs/>
                <w:sz w:val="28"/>
                <w:szCs w:val="28"/>
                <w:bdr w:val="none" w:sz="0" w:space="0" w:color="auto" w:frame="1"/>
                <w:lang w:eastAsia="ua-UA"/>
              </w:rPr>
              <w:t>нестерильний</w:t>
            </w:r>
            <w:r w:rsidRPr="00A132FE">
              <w:rPr>
                <w:rFonts w:ascii="Times New Roman" w:eastAsia="Times New Roman" w:hAnsi="Times New Roman" w:cs="Times New Roman"/>
                <w:sz w:val="28"/>
                <w:szCs w:val="28"/>
                <w:bdr w:val="none" w:sz="0" w:space="0" w:color="auto" w:frame="1"/>
                <w:lang w:eastAsia="ua-UA"/>
              </w:rPr>
              <w:t> </w:t>
            </w:r>
          </w:p>
        </w:tc>
        <w:tc>
          <w:tcPr>
            <w:tcW w:w="0" w:type="auto"/>
            <w:tcBorders>
              <w:top w:val="single" w:sz="6" w:space="0" w:color="EEEEEE"/>
            </w:tcBorders>
            <w:tcMar>
              <w:top w:w="90" w:type="dxa"/>
              <w:left w:w="360" w:type="dxa"/>
              <w:bottom w:w="90" w:type="dxa"/>
              <w:right w:w="360" w:type="dxa"/>
            </w:tcMar>
            <w:vAlign w:val="center"/>
            <w:hideMark/>
          </w:tcPr>
          <w:p w14:paraId="0833676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Бинт марлевий медичний нестерильний та </w:t>
            </w:r>
            <w:r w:rsidRPr="00A132FE">
              <w:rPr>
                <w:rFonts w:ascii="Times New Roman" w:eastAsia="Times New Roman" w:hAnsi="Times New Roman" w:cs="Times New Roman"/>
                <w:b/>
                <w:bCs/>
                <w:sz w:val="28"/>
                <w:szCs w:val="28"/>
                <w:bdr w:val="none" w:sz="0" w:space="0" w:color="auto" w:frame="1"/>
                <w:lang w:eastAsia="ua-UA"/>
              </w:rPr>
              <w:t>стерильний</w:t>
            </w:r>
          </w:p>
        </w:tc>
        <w:tc>
          <w:tcPr>
            <w:tcW w:w="0" w:type="auto"/>
            <w:tcBorders>
              <w:top w:val="single" w:sz="6" w:space="0" w:color="EEEEEE"/>
            </w:tcBorders>
            <w:tcMar>
              <w:top w:w="90" w:type="dxa"/>
              <w:left w:w="360" w:type="dxa"/>
              <w:bottom w:w="90" w:type="dxa"/>
              <w:right w:w="360" w:type="dxa"/>
            </w:tcMar>
            <w:vAlign w:val="center"/>
            <w:hideMark/>
          </w:tcPr>
          <w:p w14:paraId="3712FE2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Бинт </w:t>
            </w:r>
            <w:r w:rsidRPr="00A132FE">
              <w:rPr>
                <w:rFonts w:ascii="Times New Roman" w:eastAsia="Times New Roman" w:hAnsi="Times New Roman" w:cs="Times New Roman"/>
                <w:b/>
                <w:bCs/>
                <w:sz w:val="28"/>
                <w:szCs w:val="28"/>
                <w:bdr w:val="none" w:sz="0" w:space="0" w:color="auto" w:frame="1"/>
                <w:lang w:eastAsia="ua-UA"/>
              </w:rPr>
              <w:t>стерильний</w:t>
            </w:r>
            <w:r w:rsidRPr="00A132FE">
              <w:rPr>
                <w:rFonts w:ascii="Times New Roman" w:eastAsia="Times New Roman" w:hAnsi="Times New Roman" w:cs="Times New Roman"/>
                <w:sz w:val="28"/>
                <w:szCs w:val="28"/>
                <w:bdr w:val="none" w:sz="0" w:space="0" w:color="auto" w:frame="1"/>
                <w:lang w:eastAsia="ua-UA"/>
              </w:rPr>
              <w:t> і нестерильний</w:t>
            </w:r>
          </w:p>
        </w:tc>
      </w:tr>
      <w:tr w:rsidR="00CF0786" w:rsidRPr="00A132FE" w14:paraId="250D69C0" w14:textId="77777777" w:rsidTr="00CF0786">
        <w:tc>
          <w:tcPr>
            <w:tcW w:w="0" w:type="auto"/>
            <w:tcBorders>
              <w:top w:val="single" w:sz="6" w:space="0" w:color="EEEEEE"/>
            </w:tcBorders>
            <w:tcMar>
              <w:top w:w="90" w:type="dxa"/>
              <w:left w:w="360" w:type="dxa"/>
              <w:bottom w:w="90" w:type="dxa"/>
              <w:right w:w="360" w:type="dxa"/>
            </w:tcMar>
            <w:vAlign w:val="center"/>
            <w:hideMark/>
          </w:tcPr>
          <w:p w14:paraId="650AA6E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4B138E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Болезаспокійливі засоби</w:t>
            </w:r>
          </w:p>
        </w:tc>
        <w:tc>
          <w:tcPr>
            <w:tcW w:w="0" w:type="auto"/>
            <w:tcBorders>
              <w:top w:val="single" w:sz="6" w:space="0" w:color="EEEEEE"/>
            </w:tcBorders>
            <w:tcMar>
              <w:top w:w="90" w:type="dxa"/>
              <w:left w:w="360" w:type="dxa"/>
              <w:bottom w:w="90" w:type="dxa"/>
              <w:right w:w="360" w:type="dxa"/>
            </w:tcMar>
            <w:vAlign w:val="center"/>
            <w:hideMark/>
          </w:tcPr>
          <w:p w14:paraId="7DE06847"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6A902616" w14:textId="77777777" w:rsidTr="00CF0786">
        <w:tc>
          <w:tcPr>
            <w:tcW w:w="0" w:type="auto"/>
            <w:tcBorders>
              <w:top w:val="single" w:sz="6" w:space="0" w:color="EEEEEE"/>
            </w:tcBorders>
            <w:tcMar>
              <w:top w:w="90" w:type="dxa"/>
              <w:left w:w="360" w:type="dxa"/>
              <w:bottom w:w="90" w:type="dxa"/>
              <w:right w:w="360" w:type="dxa"/>
            </w:tcMar>
            <w:vAlign w:val="center"/>
            <w:hideMark/>
          </w:tcPr>
          <w:p w14:paraId="0E9EAB4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81D123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Борної кислоти розчин спиртовий </w:t>
            </w:r>
            <w:r w:rsidRPr="00A132FE">
              <w:rPr>
                <w:rFonts w:ascii="Times New Roman" w:eastAsia="Times New Roman" w:hAnsi="Times New Roman" w:cs="Times New Roman"/>
                <w:b/>
                <w:bCs/>
                <w:sz w:val="28"/>
                <w:szCs w:val="28"/>
                <w:bdr w:val="none" w:sz="0" w:space="0" w:color="auto" w:frame="1"/>
                <w:lang w:eastAsia="ua-UA"/>
              </w:rPr>
              <w:t>2% (3%)</w:t>
            </w:r>
          </w:p>
        </w:tc>
        <w:tc>
          <w:tcPr>
            <w:tcW w:w="0" w:type="auto"/>
            <w:tcBorders>
              <w:top w:val="single" w:sz="6" w:space="0" w:color="EEEEEE"/>
            </w:tcBorders>
            <w:tcMar>
              <w:top w:w="90" w:type="dxa"/>
              <w:left w:w="360" w:type="dxa"/>
              <w:bottom w:w="90" w:type="dxa"/>
              <w:right w:w="360" w:type="dxa"/>
            </w:tcMar>
            <w:vAlign w:val="center"/>
            <w:hideMark/>
          </w:tcPr>
          <w:p w14:paraId="0E51936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Розчин борної кислоти </w:t>
            </w:r>
            <w:r w:rsidRPr="00A132FE">
              <w:rPr>
                <w:rFonts w:ascii="Times New Roman" w:eastAsia="Times New Roman" w:hAnsi="Times New Roman" w:cs="Times New Roman"/>
                <w:b/>
                <w:bCs/>
                <w:sz w:val="28"/>
                <w:szCs w:val="28"/>
                <w:bdr w:val="none" w:sz="0" w:space="0" w:color="auto" w:frame="1"/>
                <w:lang w:eastAsia="ua-UA"/>
              </w:rPr>
              <w:t>5%</w:t>
            </w:r>
            <w:r w:rsidRPr="00A132FE">
              <w:rPr>
                <w:rFonts w:ascii="Times New Roman" w:eastAsia="Times New Roman" w:hAnsi="Times New Roman" w:cs="Times New Roman"/>
                <w:sz w:val="28"/>
                <w:szCs w:val="28"/>
                <w:bdr w:val="none" w:sz="0" w:space="0" w:color="auto" w:frame="1"/>
                <w:lang w:eastAsia="ua-UA"/>
              </w:rPr>
              <w:t>-ний спиртовий</w:t>
            </w:r>
          </w:p>
        </w:tc>
      </w:tr>
      <w:tr w:rsidR="00CF0786" w:rsidRPr="00A132FE" w14:paraId="720F6E26" w14:textId="77777777" w:rsidTr="00CF0786">
        <w:tc>
          <w:tcPr>
            <w:tcW w:w="0" w:type="auto"/>
            <w:tcBorders>
              <w:top w:val="single" w:sz="6" w:space="0" w:color="EEEEEE"/>
            </w:tcBorders>
            <w:tcMar>
              <w:top w:w="90" w:type="dxa"/>
              <w:left w:w="360" w:type="dxa"/>
              <w:bottom w:w="90" w:type="dxa"/>
              <w:right w:w="360" w:type="dxa"/>
            </w:tcMar>
            <w:vAlign w:val="center"/>
            <w:hideMark/>
          </w:tcPr>
          <w:p w14:paraId="3712142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4B9AEC5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Брильянтового зеленого розчин спиртовий 1%</w:t>
            </w:r>
          </w:p>
        </w:tc>
        <w:tc>
          <w:tcPr>
            <w:tcW w:w="0" w:type="auto"/>
            <w:tcBorders>
              <w:top w:val="single" w:sz="6" w:space="0" w:color="EEEEEE"/>
            </w:tcBorders>
            <w:tcMar>
              <w:top w:w="90" w:type="dxa"/>
              <w:left w:w="360" w:type="dxa"/>
              <w:bottom w:w="90" w:type="dxa"/>
              <w:right w:w="360" w:type="dxa"/>
            </w:tcMar>
            <w:vAlign w:val="center"/>
            <w:hideMark/>
          </w:tcPr>
          <w:p w14:paraId="116886F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2C18DE85" w14:textId="77777777" w:rsidTr="00CF0786">
        <w:tc>
          <w:tcPr>
            <w:tcW w:w="0" w:type="auto"/>
            <w:tcBorders>
              <w:top w:val="single" w:sz="6" w:space="0" w:color="EEEEEE"/>
            </w:tcBorders>
            <w:tcMar>
              <w:top w:w="90" w:type="dxa"/>
              <w:left w:w="360" w:type="dxa"/>
              <w:bottom w:w="90" w:type="dxa"/>
              <w:right w:w="360" w:type="dxa"/>
            </w:tcMar>
            <w:vAlign w:val="center"/>
            <w:hideMark/>
          </w:tcPr>
          <w:p w14:paraId="5501AAA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BFBC20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Вазелін мазь</w:t>
            </w:r>
          </w:p>
        </w:tc>
        <w:tc>
          <w:tcPr>
            <w:tcW w:w="0" w:type="auto"/>
            <w:tcBorders>
              <w:top w:val="single" w:sz="6" w:space="0" w:color="EEEEEE"/>
            </w:tcBorders>
            <w:tcMar>
              <w:top w:w="90" w:type="dxa"/>
              <w:left w:w="360" w:type="dxa"/>
              <w:bottom w:w="90" w:type="dxa"/>
              <w:right w:w="360" w:type="dxa"/>
            </w:tcMar>
            <w:vAlign w:val="center"/>
            <w:hideMark/>
          </w:tcPr>
          <w:p w14:paraId="444F2A5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Вазелін борний</w:t>
            </w:r>
          </w:p>
        </w:tc>
      </w:tr>
      <w:tr w:rsidR="00CF0786" w:rsidRPr="00A132FE" w14:paraId="6239B856" w14:textId="77777777" w:rsidTr="00CF0786">
        <w:tc>
          <w:tcPr>
            <w:tcW w:w="0" w:type="auto"/>
            <w:tcBorders>
              <w:top w:val="single" w:sz="6" w:space="0" w:color="EEEEEE"/>
            </w:tcBorders>
            <w:tcMar>
              <w:top w:w="90" w:type="dxa"/>
              <w:left w:w="360" w:type="dxa"/>
              <w:bottom w:w="90" w:type="dxa"/>
              <w:right w:w="360" w:type="dxa"/>
            </w:tcMar>
            <w:vAlign w:val="center"/>
            <w:hideMark/>
          </w:tcPr>
          <w:p w14:paraId="511D58A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DDECB5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Валідол</w:t>
            </w:r>
          </w:p>
        </w:tc>
        <w:tc>
          <w:tcPr>
            <w:tcW w:w="0" w:type="auto"/>
            <w:tcBorders>
              <w:top w:val="single" w:sz="6" w:space="0" w:color="EEEEEE"/>
            </w:tcBorders>
            <w:tcMar>
              <w:top w:w="90" w:type="dxa"/>
              <w:left w:w="360" w:type="dxa"/>
              <w:bottom w:w="90" w:type="dxa"/>
              <w:right w:w="360" w:type="dxa"/>
            </w:tcMar>
            <w:vAlign w:val="center"/>
            <w:hideMark/>
          </w:tcPr>
          <w:p w14:paraId="172ADBA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Валідол</w:t>
            </w:r>
          </w:p>
        </w:tc>
      </w:tr>
      <w:tr w:rsidR="00CF0786" w:rsidRPr="00A132FE" w14:paraId="7907607E" w14:textId="77777777" w:rsidTr="00CF0786">
        <w:tc>
          <w:tcPr>
            <w:tcW w:w="0" w:type="auto"/>
            <w:tcBorders>
              <w:top w:val="single" w:sz="6" w:space="0" w:color="EEEEEE"/>
            </w:tcBorders>
            <w:tcMar>
              <w:top w:w="90" w:type="dxa"/>
              <w:left w:w="360" w:type="dxa"/>
              <w:bottom w:w="90" w:type="dxa"/>
              <w:right w:w="360" w:type="dxa"/>
            </w:tcMar>
            <w:vAlign w:val="center"/>
            <w:hideMark/>
          </w:tcPr>
          <w:p w14:paraId="5B61A23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lastRenderedPageBreak/>
              <w:t>————-</w:t>
            </w:r>
          </w:p>
        </w:tc>
        <w:tc>
          <w:tcPr>
            <w:tcW w:w="0" w:type="auto"/>
            <w:tcBorders>
              <w:top w:val="single" w:sz="6" w:space="0" w:color="EEEEEE"/>
            </w:tcBorders>
            <w:tcMar>
              <w:top w:w="90" w:type="dxa"/>
              <w:left w:w="360" w:type="dxa"/>
              <w:bottom w:w="90" w:type="dxa"/>
              <w:right w:w="360" w:type="dxa"/>
            </w:tcMar>
            <w:vAlign w:val="center"/>
            <w:hideMark/>
          </w:tcPr>
          <w:p w14:paraId="4B9821A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Вата медична гігроскопічна </w:t>
            </w:r>
            <w:r w:rsidRPr="00A132FE">
              <w:rPr>
                <w:rFonts w:ascii="Times New Roman" w:eastAsia="Times New Roman" w:hAnsi="Times New Roman" w:cs="Times New Roman"/>
                <w:b/>
                <w:bCs/>
                <w:sz w:val="28"/>
                <w:szCs w:val="28"/>
                <w:bdr w:val="none" w:sz="0" w:space="0" w:color="auto" w:frame="1"/>
                <w:lang w:eastAsia="ua-UA"/>
              </w:rPr>
              <w:t>стерильна</w:t>
            </w:r>
          </w:p>
        </w:tc>
        <w:tc>
          <w:tcPr>
            <w:tcW w:w="0" w:type="auto"/>
            <w:tcBorders>
              <w:top w:val="single" w:sz="6" w:space="0" w:color="EEEEEE"/>
            </w:tcBorders>
            <w:tcMar>
              <w:top w:w="90" w:type="dxa"/>
              <w:left w:w="360" w:type="dxa"/>
              <w:bottom w:w="90" w:type="dxa"/>
              <w:right w:w="360" w:type="dxa"/>
            </w:tcMar>
            <w:vAlign w:val="center"/>
            <w:hideMark/>
          </w:tcPr>
          <w:p w14:paraId="26507E3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Вата гігроскопічна (у банці з притертою пробкою)</w:t>
            </w:r>
          </w:p>
        </w:tc>
      </w:tr>
      <w:tr w:rsidR="00CF0786" w:rsidRPr="00A132FE" w14:paraId="09B6EC75" w14:textId="77777777" w:rsidTr="00CF0786">
        <w:tc>
          <w:tcPr>
            <w:tcW w:w="0" w:type="auto"/>
            <w:tcBorders>
              <w:top w:val="single" w:sz="6" w:space="0" w:color="EEEEEE"/>
            </w:tcBorders>
            <w:tcMar>
              <w:top w:w="90" w:type="dxa"/>
              <w:left w:w="360" w:type="dxa"/>
              <w:bottom w:w="90" w:type="dxa"/>
              <w:right w:w="360" w:type="dxa"/>
            </w:tcMar>
            <w:vAlign w:val="center"/>
            <w:hideMark/>
          </w:tcPr>
          <w:p w14:paraId="2B0DB16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джгут венозний</w:t>
            </w:r>
          </w:p>
        </w:tc>
        <w:tc>
          <w:tcPr>
            <w:tcW w:w="0" w:type="auto"/>
            <w:tcBorders>
              <w:top w:val="single" w:sz="6" w:space="0" w:color="EEEEEE"/>
            </w:tcBorders>
            <w:tcMar>
              <w:top w:w="90" w:type="dxa"/>
              <w:left w:w="360" w:type="dxa"/>
              <w:bottom w:w="90" w:type="dxa"/>
              <w:right w:w="360" w:type="dxa"/>
            </w:tcMar>
            <w:vAlign w:val="center"/>
            <w:hideMark/>
          </w:tcPr>
          <w:p w14:paraId="475C223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Джгут кровоспинний гумовий</w:t>
            </w:r>
          </w:p>
        </w:tc>
        <w:tc>
          <w:tcPr>
            <w:tcW w:w="0" w:type="auto"/>
            <w:tcBorders>
              <w:top w:val="single" w:sz="6" w:space="0" w:color="EEEEEE"/>
            </w:tcBorders>
            <w:tcMar>
              <w:top w:w="90" w:type="dxa"/>
              <w:left w:w="360" w:type="dxa"/>
              <w:bottom w:w="90" w:type="dxa"/>
              <w:right w:w="360" w:type="dxa"/>
            </w:tcMar>
            <w:vAlign w:val="center"/>
            <w:hideMark/>
          </w:tcPr>
          <w:p w14:paraId="3499C21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Джгут</w:t>
            </w:r>
          </w:p>
        </w:tc>
      </w:tr>
      <w:tr w:rsidR="00CF0786" w:rsidRPr="00A132FE" w14:paraId="518E7537" w14:textId="77777777" w:rsidTr="00CF0786">
        <w:tc>
          <w:tcPr>
            <w:tcW w:w="0" w:type="auto"/>
            <w:tcBorders>
              <w:top w:val="single" w:sz="6" w:space="0" w:color="EEEEEE"/>
            </w:tcBorders>
            <w:tcMar>
              <w:top w:w="90" w:type="dxa"/>
              <w:left w:w="360" w:type="dxa"/>
              <w:bottom w:w="90" w:type="dxa"/>
              <w:right w:w="360" w:type="dxa"/>
            </w:tcMar>
            <w:vAlign w:val="center"/>
            <w:hideMark/>
          </w:tcPr>
          <w:p w14:paraId="4999F5A8"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Povidone-iodine (повідон-йоду), розчин для зовнішнього застосування (нашкірний) 100 мг/мл (10 %), по 30 мл або по 50 мл або по 100 мл у флаконах</w:t>
            </w:r>
          </w:p>
        </w:tc>
        <w:tc>
          <w:tcPr>
            <w:tcW w:w="0" w:type="auto"/>
            <w:tcBorders>
              <w:top w:val="single" w:sz="6" w:space="0" w:color="EEEEEE"/>
            </w:tcBorders>
            <w:tcMar>
              <w:top w:w="90" w:type="dxa"/>
              <w:left w:w="360" w:type="dxa"/>
              <w:bottom w:w="90" w:type="dxa"/>
              <w:right w:w="360" w:type="dxa"/>
            </w:tcMar>
            <w:vAlign w:val="center"/>
            <w:hideMark/>
          </w:tcPr>
          <w:p w14:paraId="32720DD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Йоду розчин спиртовий 5%</w:t>
            </w:r>
          </w:p>
        </w:tc>
        <w:tc>
          <w:tcPr>
            <w:tcW w:w="0" w:type="auto"/>
            <w:tcBorders>
              <w:top w:val="single" w:sz="6" w:space="0" w:color="EEEEEE"/>
            </w:tcBorders>
            <w:tcMar>
              <w:top w:w="90" w:type="dxa"/>
              <w:left w:w="360" w:type="dxa"/>
              <w:bottom w:w="90" w:type="dxa"/>
              <w:right w:w="360" w:type="dxa"/>
            </w:tcMar>
            <w:vAlign w:val="center"/>
            <w:hideMark/>
          </w:tcPr>
          <w:p w14:paraId="5C8ABD5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Йодна настоянка</w:t>
            </w:r>
          </w:p>
        </w:tc>
      </w:tr>
      <w:tr w:rsidR="00CF0786" w:rsidRPr="00A132FE" w14:paraId="00B20962" w14:textId="77777777" w:rsidTr="00CF0786">
        <w:tc>
          <w:tcPr>
            <w:tcW w:w="0" w:type="auto"/>
            <w:tcBorders>
              <w:top w:val="single" w:sz="6" w:space="0" w:color="EEEEEE"/>
            </w:tcBorders>
            <w:tcMar>
              <w:top w:w="90" w:type="dxa"/>
              <w:left w:w="360" w:type="dxa"/>
              <w:bottom w:w="90" w:type="dxa"/>
              <w:right w:w="360" w:type="dxa"/>
            </w:tcMar>
            <w:vAlign w:val="center"/>
            <w:hideMark/>
          </w:tcPr>
          <w:p w14:paraId="6133AB2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лейкопластир: 1 на нетканій основі завдовжки; 1 гіпоалергенний; 20 бактерицидних </w:t>
            </w:r>
          </w:p>
        </w:tc>
        <w:tc>
          <w:tcPr>
            <w:tcW w:w="0" w:type="auto"/>
            <w:tcBorders>
              <w:top w:val="single" w:sz="6" w:space="0" w:color="EEEEEE"/>
            </w:tcBorders>
            <w:tcMar>
              <w:top w:w="90" w:type="dxa"/>
              <w:left w:w="360" w:type="dxa"/>
              <w:bottom w:w="90" w:type="dxa"/>
              <w:right w:w="360" w:type="dxa"/>
            </w:tcMar>
            <w:vAlign w:val="center"/>
            <w:hideMark/>
          </w:tcPr>
          <w:p w14:paraId="163AC247"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Лейкопластир, Пластир бактерицидний</w:t>
            </w:r>
          </w:p>
        </w:tc>
        <w:tc>
          <w:tcPr>
            <w:tcW w:w="0" w:type="auto"/>
            <w:tcBorders>
              <w:top w:val="single" w:sz="6" w:space="0" w:color="EEEEEE"/>
            </w:tcBorders>
            <w:tcMar>
              <w:top w:w="90" w:type="dxa"/>
              <w:left w:w="360" w:type="dxa"/>
              <w:bottom w:w="90" w:type="dxa"/>
              <w:right w:w="360" w:type="dxa"/>
            </w:tcMar>
            <w:vAlign w:val="center"/>
            <w:hideMark/>
          </w:tcPr>
          <w:p w14:paraId="673BEAF8"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b/>
                <w:bCs/>
                <w:sz w:val="28"/>
                <w:szCs w:val="28"/>
                <w:bdr w:val="none" w:sz="0" w:space="0" w:color="auto" w:frame="1"/>
                <w:lang w:eastAsia="ua-UA"/>
              </w:rPr>
              <w:t>Клей БФ-6</w:t>
            </w:r>
            <w:r w:rsidRPr="00A132FE">
              <w:rPr>
                <w:rFonts w:ascii="Times New Roman" w:eastAsia="Times New Roman" w:hAnsi="Times New Roman" w:cs="Times New Roman"/>
                <w:sz w:val="28"/>
                <w:szCs w:val="28"/>
                <w:bdr w:val="none" w:sz="0" w:space="0" w:color="auto" w:frame="1"/>
                <w:lang w:eastAsia="ua-UA"/>
              </w:rPr>
              <w:t> (або лейкопластир)</w:t>
            </w:r>
          </w:p>
        </w:tc>
      </w:tr>
      <w:tr w:rsidR="00CF0786" w:rsidRPr="00A132FE" w14:paraId="220CCF02" w14:textId="77777777" w:rsidTr="00CF0786">
        <w:tc>
          <w:tcPr>
            <w:tcW w:w="0" w:type="auto"/>
            <w:tcBorders>
              <w:top w:val="single" w:sz="6" w:space="0" w:color="EEEEEE"/>
            </w:tcBorders>
            <w:tcMar>
              <w:top w:w="90" w:type="dxa"/>
              <w:left w:w="360" w:type="dxa"/>
              <w:bottom w:w="90" w:type="dxa"/>
              <w:right w:w="360" w:type="dxa"/>
            </w:tcMar>
            <w:vAlign w:val="center"/>
            <w:hideMark/>
          </w:tcPr>
          <w:p w14:paraId="491EAD8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Ножиці медичні тактичні</w:t>
            </w:r>
          </w:p>
        </w:tc>
        <w:tc>
          <w:tcPr>
            <w:tcW w:w="0" w:type="auto"/>
            <w:tcBorders>
              <w:top w:val="single" w:sz="6" w:space="0" w:color="EEEEEE"/>
            </w:tcBorders>
            <w:tcMar>
              <w:top w:w="90" w:type="dxa"/>
              <w:left w:w="360" w:type="dxa"/>
              <w:bottom w:w="90" w:type="dxa"/>
              <w:right w:w="360" w:type="dxa"/>
            </w:tcMar>
            <w:vAlign w:val="center"/>
            <w:hideMark/>
          </w:tcPr>
          <w:p w14:paraId="38F4AF8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Ножиці медичні</w:t>
            </w:r>
          </w:p>
        </w:tc>
        <w:tc>
          <w:tcPr>
            <w:tcW w:w="0" w:type="auto"/>
            <w:tcBorders>
              <w:top w:val="single" w:sz="6" w:space="0" w:color="EEEEEE"/>
            </w:tcBorders>
            <w:tcMar>
              <w:top w:w="90" w:type="dxa"/>
              <w:left w:w="360" w:type="dxa"/>
              <w:bottom w:w="90" w:type="dxa"/>
              <w:right w:w="360" w:type="dxa"/>
            </w:tcMar>
            <w:vAlign w:val="center"/>
            <w:hideMark/>
          </w:tcPr>
          <w:p w14:paraId="1DFD861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Ножиці медичні</w:t>
            </w:r>
          </w:p>
        </w:tc>
      </w:tr>
      <w:tr w:rsidR="00CF0786" w:rsidRPr="00A132FE" w14:paraId="39E86F1F" w14:textId="77777777" w:rsidTr="00CF0786">
        <w:tc>
          <w:tcPr>
            <w:tcW w:w="0" w:type="auto"/>
            <w:tcBorders>
              <w:top w:val="single" w:sz="6" w:space="0" w:color="EEEEEE"/>
            </w:tcBorders>
            <w:tcMar>
              <w:top w:w="90" w:type="dxa"/>
              <w:left w:w="360" w:type="dxa"/>
              <w:bottom w:w="90" w:type="dxa"/>
              <w:right w:w="360" w:type="dxa"/>
            </w:tcMar>
            <w:vAlign w:val="center"/>
            <w:hideMark/>
          </w:tcPr>
          <w:p w14:paraId="606E463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018942B8"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Перекису водню розчин 3%</w:t>
            </w:r>
          </w:p>
        </w:tc>
        <w:tc>
          <w:tcPr>
            <w:tcW w:w="0" w:type="auto"/>
            <w:tcBorders>
              <w:top w:val="single" w:sz="6" w:space="0" w:color="EEEEEE"/>
            </w:tcBorders>
            <w:tcMar>
              <w:top w:w="90" w:type="dxa"/>
              <w:left w:w="360" w:type="dxa"/>
              <w:bottom w:w="90" w:type="dxa"/>
              <w:right w:w="360" w:type="dxa"/>
            </w:tcMar>
            <w:vAlign w:val="center"/>
            <w:hideMark/>
          </w:tcPr>
          <w:p w14:paraId="09D134E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Розчин пероксиду водню 3%-ний</w:t>
            </w:r>
          </w:p>
        </w:tc>
      </w:tr>
      <w:tr w:rsidR="00CF0786" w:rsidRPr="00A132FE" w14:paraId="1DBA4B36" w14:textId="77777777" w:rsidTr="00CF0786">
        <w:tc>
          <w:tcPr>
            <w:tcW w:w="0" w:type="auto"/>
            <w:tcBorders>
              <w:top w:val="single" w:sz="6" w:space="0" w:color="EEEEEE"/>
            </w:tcBorders>
            <w:tcMar>
              <w:top w:w="90" w:type="dxa"/>
              <w:left w:w="360" w:type="dxa"/>
              <w:bottom w:w="90" w:type="dxa"/>
              <w:right w:w="360" w:type="dxa"/>
            </w:tcMar>
            <w:vAlign w:val="center"/>
            <w:hideMark/>
          </w:tcPr>
          <w:p w14:paraId="24FBC36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Пінцет анатомічний</w:t>
            </w:r>
          </w:p>
        </w:tc>
        <w:tc>
          <w:tcPr>
            <w:tcW w:w="0" w:type="auto"/>
            <w:tcBorders>
              <w:top w:val="single" w:sz="6" w:space="0" w:color="EEEEEE"/>
            </w:tcBorders>
            <w:tcMar>
              <w:top w:w="90" w:type="dxa"/>
              <w:left w:w="360" w:type="dxa"/>
              <w:bottom w:w="90" w:type="dxa"/>
              <w:right w:w="360" w:type="dxa"/>
            </w:tcMar>
            <w:vAlign w:val="center"/>
            <w:hideMark/>
          </w:tcPr>
          <w:p w14:paraId="69832A9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Пінцет</w:t>
            </w:r>
          </w:p>
        </w:tc>
        <w:tc>
          <w:tcPr>
            <w:tcW w:w="0" w:type="auto"/>
            <w:tcBorders>
              <w:top w:val="single" w:sz="6" w:space="0" w:color="EEEEEE"/>
            </w:tcBorders>
            <w:tcMar>
              <w:top w:w="90" w:type="dxa"/>
              <w:left w:w="360" w:type="dxa"/>
              <w:bottom w:w="90" w:type="dxa"/>
              <w:right w:w="360" w:type="dxa"/>
            </w:tcMar>
            <w:vAlign w:val="center"/>
            <w:hideMark/>
          </w:tcPr>
          <w:p w14:paraId="6804DDB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Пінцет</w:t>
            </w:r>
          </w:p>
        </w:tc>
      </w:tr>
      <w:tr w:rsidR="00CF0786" w:rsidRPr="00A132FE" w14:paraId="2F70943A" w14:textId="77777777" w:rsidTr="00CF0786">
        <w:tc>
          <w:tcPr>
            <w:tcW w:w="0" w:type="auto"/>
            <w:tcBorders>
              <w:top w:val="single" w:sz="6" w:space="0" w:color="EEEEEE"/>
            </w:tcBorders>
            <w:tcMar>
              <w:top w:w="90" w:type="dxa"/>
              <w:left w:w="360" w:type="dxa"/>
              <w:bottom w:w="90" w:type="dxa"/>
              <w:right w:w="360" w:type="dxa"/>
            </w:tcMar>
            <w:vAlign w:val="center"/>
            <w:hideMark/>
          </w:tcPr>
          <w:p w14:paraId="0EE4240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1469FA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D674FE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Спирт етиловий</w:t>
            </w:r>
          </w:p>
        </w:tc>
      </w:tr>
      <w:tr w:rsidR="00CF0786" w:rsidRPr="00A132FE" w14:paraId="4F8AC140" w14:textId="77777777" w:rsidTr="00CF0786">
        <w:tc>
          <w:tcPr>
            <w:tcW w:w="0" w:type="auto"/>
            <w:tcBorders>
              <w:top w:val="single" w:sz="6" w:space="0" w:color="EEEEEE"/>
            </w:tcBorders>
            <w:tcMar>
              <w:top w:w="90" w:type="dxa"/>
              <w:left w:w="360" w:type="dxa"/>
              <w:bottom w:w="90" w:type="dxa"/>
              <w:right w:w="360" w:type="dxa"/>
            </w:tcMar>
            <w:vAlign w:val="center"/>
            <w:hideMark/>
          </w:tcPr>
          <w:p w14:paraId="0CF34A1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C6F1A97"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D5C0DC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Мазь від опіків (з анестезіном тощо)</w:t>
            </w:r>
          </w:p>
        </w:tc>
      </w:tr>
      <w:tr w:rsidR="00CF0786" w:rsidRPr="00A132FE" w14:paraId="0AC17A04" w14:textId="77777777" w:rsidTr="00CF0786">
        <w:tc>
          <w:tcPr>
            <w:tcW w:w="0" w:type="auto"/>
            <w:tcBorders>
              <w:top w:val="single" w:sz="6" w:space="0" w:color="EEEEEE"/>
            </w:tcBorders>
            <w:tcMar>
              <w:top w:w="90" w:type="dxa"/>
              <w:left w:w="360" w:type="dxa"/>
              <w:bottom w:w="90" w:type="dxa"/>
              <w:right w:w="360" w:type="dxa"/>
            </w:tcMar>
            <w:vAlign w:val="center"/>
            <w:hideMark/>
          </w:tcPr>
          <w:p w14:paraId="1924824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28A5AE7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722BD3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Перманганат калію</w:t>
            </w:r>
          </w:p>
        </w:tc>
      </w:tr>
      <w:tr w:rsidR="00CF0786" w:rsidRPr="00A132FE" w14:paraId="1F34D4DA" w14:textId="77777777" w:rsidTr="00CF0786">
        <w:tc>
          <w:tcPr>
            <w:tcW w:w="0" w:type="auto"/>
            <w:tcBorders>
              <w:top w:val="single" w:sz="6" w:space="0" w:color="EEEEEE"/>
            </w:tcBorders>
            <w:tcMar>
              <w:top w:w="90" w:type="dxa"/>
              <w:left w:w="360" w:type="dxa"/>
              <w:bottom w:w="90" w:type="dxa"/>
              <w:right w:w="360" w:type="dxa"/>
            </w:tcMar>
            <w:vAlign w:val="center"/>
            <w:hideMark/>
          </w:tcPr>
          <w:p w14:paraId="3B72A45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816D8D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F88D3D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Розчин оцтової кислоти 2%-ний</w:t>
            </w:r>
          </w:p>
        </w:tc>
      </w:tr>
      <w:tr w:rsidR="00CF0786" w:rsidRPr="00A132FE" w14:paraId="4ACB4B64" w14:textId="77777777" w:rsidTr="00CF0786">
        <w:tc>
          <w:tcPr>
            <w:tcW w:w="0" w:type="auto"/>
            <w:tcBorders>
              <w:top w:val="single" w:sz="6" w:space="0" w:color="EEEEEE"/>
            </w:tcBorders>
            <w:tcMar>
              <w:top w:w="90" w:type="dxa"/>
              <w:left w:w="360" w:type="dxa"/>
              <w:bottom w:w="90" w:type="dxa"/>
              <w:right w:w="360" w:type="dxa"/>
            </w:tcMar>
            <w:vAlign w:val="center"/>
            <w:hideMark/>
          </w:tcPr>
          <w:p w14:paraId="48D6639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63B6B09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2A1F89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Активоване вугілля в таблетках</w:t>
            </w:r>
          </w:p>
        </w:tc>
      </w:tr>
      <w:tr w:rsidR="00CF0786" w:rsidRPr="00A132FE" w14:paraId="62BB3455" w14:textId="77777777" w:rsidTr="00CF0786">
        <w:tc>
          <w:tcPr>
            <w:tcW w:w="0" w:type="auto"/>
            <w:tcBorders>
              <w:top w:val="single" w:sz="6" w:space="0" w:color="EEEEEE"/>
            </w:tcBorders>
            <w:tcMar>
              <w:top w:w="90" w:type="dxa"/>
              <w:left w:w="360" w:type="dxa"/>
              <w:bottom w:w="90" w:type="dxa"/>
              <w:right w:w="360" w:type="dxa"/>
            </w:tcMar>
            <w:vAlign w:val="center"/>
            <w:hideMark/>
          </w:tcPr>
          <w:p w14:paraId="7418298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DFEC11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11436D0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Сульфацил натрію 30%-ний у тюбиках</w:t>
            </w:r>
          </w:p>
        </w:tc>
      </w:tr>
      <w:tr w:rsidR="00CF0786" w:rsidRPr="00A132FE" w14:paraId="18666FD5" w14:textId="77777777" w:rsidTr="00CF0786">
        <w:tc>
          <w:tcPr>
            <w:tcW w:w="0" w:type="auto"/>
            <w:tcBorders>
              <w:top w:val="single" w:sz="6" w:space="0" w:color="EEEEEE"/>
            </w:tcBorders>
            <w:tcMar>
              <w:top w:w="90" w:type="dxa"/>
              <w:left w:w="360" w:type="dxa"/>
              <w:bottom w:w="90" w:type="dxa"/>
              <w:right w:w="360" w:type="dxa"/>
            </w:tcMar>
            <w:vAlign w:val="center"/>
            <w:hideMark/>
          </w:tcPr>
          <w:p w14:paraId="42D38BF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48ACD8C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2A04E23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Сода питна</w:t>
            </w:r>
          </w:p>
        </w:tc>
      </w:tr>
      <w:tr w:rsidR="00CF0786" w:rsidRPr="00A132FE" w14:paraId="5C3D62D0" w14:textId="77777777" w:rsidTr="00CF0786">
        <w:tc>
          <w:tcPr>
            <w:tcW w:w="0" w:type="auto"/>
            <w:tcBorders>
              <w:top w:val="single" w:sz="6" w:space="0" w:color="EEEEEE"/>
            </w:tcBorders>
            <w:tcMar>
              <w:top w:w="90" w:type="dxa"/>
              <w:left w:w="360" w:type="dxa"/>
              <w:bottom w:w="90" w:type="dxa"/>
              <w:right w:w="360" w:type="dxa"/>
            </w:tcMar>
            <w:vAlign w:val="center"/>
            <w:hideMark/>
          </w:tcPr>
          <w:p w14:paraId="2CDD05C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Рукавички оглядові нітрилові нестерильні (різних розмірів)</w:t>
            </w:r>
          </w:p>
        </w:tc>
        <w:tc>
          <w:tcPr>
            <w:tcW w:w="0" w:type="auto"/>
            <w:tcBorders>
              <w:top w:val="single" w:sz="6" w:space="0" w:color="EEEEEE"/>
            </w:tcBorders>
            <w:tcMar>
              <w:top w:w="90" w:type="dxa"/>
              <w:left w:w="360" w:type="dxa"/>
              <w:bottom w:w="90" w:type="dxa"/>
              <w:right w:w="360" w:type="dxa"/>
            </w:tcMar>
            <w:vAlign w:val="center"/>
            <w:hideMark/>
          </w:tcPr>
          <w:p w14:paraId="3633CDD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C6C27B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3C14E752" w14:textId="77777777" w:rsidTr="00CF0786">
        <w:tc>
          <w:tcPr>
            <w:tcW w:w="0" w:type="auto"/>
            <w:tcBorders>
              <w:top w:val="single" w:sz="6" w:space="0" w:color="EEEEEE"/>
            </w:tcBorders>
            <w:tcMar>
              <w:top w:w="90" w:type="dxa"/>
              <w:left w:w="360" w:type="dxa"/>
              <w:bottom w:w="90" w:type="dxa"/>
              <w:right w:w="360" w:type="dxa"/>
            </w:tcMar>
            <w:vAlign w:val="center"/>
            <w:hideMark/>
          </w:tcPr>
          <w:p w14:paraId="3A04A7C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шприци 2, 5 та 20 мл – по 5 штук кожного об’єму</w:t>
            </w:r>
          </w:p>
        </w:tc>
        <w:tc>
          <w:tcPr>
            <w:tcW w:w="0" w:type="auto"/>
            <w:tcBorders>
              <w:top w:val="single" w:sz="6" w:space="0" w:color="EEEEEE"/>
            </w:tcBorders>
            <w:tcMar>
              <w:top w:w="90" w:type="dxa"/>
              <w:left w:w="360" w:type="dxa"/>
              <w:bottom w:w="90" w:type="dxa"/>
              <w:right w:w="360" w:type="dxa"/>
            </w:tcMar>
            <w:vAlign w:val="center"/>
            <w:hideMark/>
          </w:tcPr>
          <w:p w14:paraId="5FA5F59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CCC137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12DDB13F" w14:textId="77777777" w:rsidTr="00CF0786">
        <w:tc>
          <w:tcPr>
            <w:tcW w:w="0" w:type="auto"/>
            <w:tcBorders>
              <w:top w:val="single" w:sz="6" w:space="0" w:color="EEEEEE"/>
            </w:tcBorders>
            <w:tcMar>
              <w:top w:w="90" w:type="dxa"/>
              <w:left w:w="360" w:type="dxa"/>
              <w:bottom w:w="90" w:type="dxa"/>
              <w:right w:w="360" w:type="dxa"/>
            </w:tcMar>
            <w:vAlign w:val="center"/>
            <w:hideMark/>
          </w:tcPr>
          <w:p w14:paraId="08FB1C1E"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Катетер внутрішньовенний різних розмірів (16G-22G)</w:t>
            </w:r>
          </w:p>
        </w:tc>
        <w:tc>
          <w:tcPr>
            <w:tcW w:w="0" w:type="auto"/>
            <w:tcBorders>
              <w:top w:val="single" w:sz="6" w:space="0" w:color="EEEEEE"/>
            </w:tcBorders>
            <w:tcMar>
              <w:top w:w="90" w:type="dxa"/>
              <w:left w:w="360" w:type="dxa"/>
              <w:bottom w:w="90" w:type="dxa"/>
              <w:right w:w="360" w:type="dxa"/>
            </w:tcMar>
            <w:vAlign w:val="center"/>
            <w:hideMark/>
          </w:tcPr>
          <w:p w14:paraId="247270E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5615A9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7091A5C5" w14:textId="77777777" w:rsidTr="00CF0786">
        <w:tc>
          <w:tcPr>
            <w:tcW w:w="0" w:type="auto"/>
            <w:tcBorders>
              <w:top w:val="single" w:sz="6" w:space="0" w:color="EEEEEE"/>
            </w:tcBorders>
            <w:tcMar>
              <w:top w:w="90" w:type="dxa"/>
              <w:left w:w="360" w:type="dxa"/>
              <w:bottom w:w="90" w:type="dxa"/>
              <w:right w:w="360" w:type="dxa"/>
            </w:tcMar>
            <w:vAlign w:val="center"/>
            <w:hideMark/>
          </w:tcPr>
          <w:p w14:paraId="5DE5758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Маска-клапан для штучної вентиляції легень</w:t>
            </w:r>
          </w:p>
        </w:tc>
        <w:tc>
          <w:tcPr>
            <w:tcW w:w="0" w:type="auto"/>
            <w:tcBorders>
              <w:top w:val="single" w:sz="6" w:space="0" w:color="EEEEEE"/>
            </w:tcBorders>
            <w:tcMar>
              <w:top w:w="90" w:type="dxa"/>
              <w:left w:w="360" w:type="dxa"/>
              <w:bottom w:w="90" w:type="dxa"/>
              <w:right w:w="360" w:type="dxa"/>
            </w:tcMar>
            <w:vAlign w:val="center"/>
            <w:hideMark/>
          </w:tcPr>
          <w:p w14:paraId="46DBC737"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87661C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48F26A9E" w14:textId="77777777" w:rsidTr="00CF0786">
        <w:tc>
          <w:tcPr>
            <w:tcW w:w="0" w:type="auto"/>
            <w:tcBorders>
              <w:top w:val="single" w:sz="6" w:space="0" w:color="EEEEEE"/>
            </w:tcBorders>
            <w:tcMar>
              <w:top w:w="90" w:type="dxa"/>
              <w:left w:w="360" w:type="dxa"/>
              <w:bottom w:w="90" w:type="dxa"/>
              <w:right w:w="360" w:type="dxa"/>
            </w:tcMar>
            <w:vAlign w:val="center"/>
            <w:hideMark/>
          </w:tcPr>
          <w:p w14:paraId="1E91634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lastRenderedPageBreak/>
              <w:t>Механічний виріб для зупинки кровотечі (турнікет типу CAT або типу SWAT)</w:t>
            </w:r>
          </w:p>
        </w:tc>
        <w:tc>
          <w:tcPr>
            <w:tcW w:w="0" w:type="auto"/>
            <w:tcBorders>
              <w:top w:val="single" w:sz="6" w:space="0" w:color="EEEEEE"/>
            </w:tcBorders>
            <w:tcMar>
              <w:top w:w="90" w:type="dxa"/>
              <w:left w:w="360" w:type="dxa"/>
              <w:bottom w:w="90" w:type="dxa"/>
              <w:right w:w="360" w:type="dxa"/>
            </w:tcMar>
            <w:vAlign w:val="center"/>
            <w:hideMark/>
          </w:tcPr>
          <w:p w14:paraId="4A9AD6F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13492D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6E2ED6B6" w14:textId="77777777" w:rsidTr="00CF0786">
        <w:tc>
          <w:tcPr>
            <w:tcW w:w="0" w:type="auto"/>
            <w:tcBorders>
              <w:top w:val="single" w:sz="6" w:space="0" w:color="EEEEEE"/>
            </w:tcBorders>
            <w:tcMar>
              <w:top w:w="90" w:type="dxa"/>
              <w:left w:w="360" w:type="dxa"/>
              <w:bottom w:w="90" w:type="dxa"/>
              <w:right w:w="360" w:type="dxa"/>
            </w:tcMar>
            <w:vAlign w:val="center"/>
            <w:hideMark/>
          </w:tcPr>
          <w:p w14:paraId="16F11CC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Система для переливання інфузійних розчинів</w:t>
            </w:r>
          </w:p>
        </w:tc>
        <w:tc>
          <w:tcPr>
            <w:tcW w:w="0" w:type="auto"/>
            <w:tcBorders>
              <w:top w:val="single" w:sz="6" w:space="0" w:color="EEEEEE"/>
            </w:tcBorders>
            <w:tcMar>
              <w:top w:w="90" w:type="dxa"/>
              <w:left w:w="360" w:type="dxa"/>
              <w:bottom w:w="90" w:type="dxa"/>
              <w:right w:w="360" w:type="dxa"/>
            </w:tcMar>
            <w:vAlign w:val="center"/>
            <w:hideMark/>
          </w:tcPr>
          <w:p w14:paraId="3AEA7914"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033CC3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080B0F58" w14:textId="77777777" w:rsidTr="00CF0786">
        <w:tc>
          <w:tcPr>
            <w:tcW w:w="0" w:type="auto"/>
            <w:tcBorders>
              <w:top w:val="single" w:sz="6" w:space="0" w:color="EEEEEE"/>
            </w:tcBorders>
            <w:tcMar>
              <w:top w:w="90" w:type="dxa"/>
              <w:left w:w="360" w:type="dxa"/>
              <w:bottom w:w="90" w:type="dxa"/>
              <w:right w:w="360" w:type="dxa"/>
            </w:tcMar>
            <w:vAlign w:val="center"/>
            <w:hideMark/>
          </w:tcPr>
          <w:p w14:paraId="15EFF7C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Пластир для фіксації катетера внутрішньовенного</w:t>
            </w:r>
          </w:p>
        </w:tc>
        <w:tc>
          <w:tcPr>
            <w:tcW w:w="0" w:type="auto"/>
            <w:tcBorders>
              <w:top w:val="single" w:sz="6" w:space="0" w:color="EEEEEE"/>
            </w:tcBorders>
            <w:tcMar>
              <w:top w:w="90" w:type="dxa"/>
              <w:left w:w="360" w:type="dxa"/>
              <w:bottom w:w="90" w:type="dxa"/>
              <w:right w:w="360" w:type="dxa"/>
            </w:tcMar>
            <w:vAlign w:val="center"/>
            <w:hideMark/>
          </w:tcPr>
          <w:p w14:paraId="3202850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25B7678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0BBC0821" w14:textId="77777777" w:rsidTr="00CF0786">
        <w:tc>
          <w:tcPr>
            <w:tcW w:w="0" w:type="auto"/>
            <w:tcBorders>
              <w:top w:val="single" w:sz="6" w:space="0" w:color="EEEEEE"/>
            </w:tcBorders>
            <w:tcMar>
              <w:top w:w="90" w:type="dxa"/>
              <w:left w:w="360" w:type="dxa"/>
              <w:bottom w:w="90" w:type="dxa"/>
              <w:right w:w="360" w:type="dxa"/>
            </w:tcMar>
            <w:vAlign w:val="center"/>
            <w:hideMark/>
          </w:tcPr>
          <w:p w14:paraId="2B58550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Sodium chloride (натрію хлорид) розчин для інфузій 9 мг/мл, 400 мл або 500 мл в полімерних контейнерах (пакетах) або полімерних флаконах (пляшках)</w:t>
            </w:r>
          </w:p>
        </w:tc>
        <w:tc>
          <w:tcPr>
            <w:tcW w:w="0" w:type="auto"/>
            <w:tcBorders>
              <w:top w:val="single" w:sz="6" w:space="0" w:color="EEEEEE"/>
            </w:tcBorders>
            <w:tcMar>
              <w:top w:w="90" w:type="dxa"/>
              <w:left w:w="360" w:type="dxa"/>
              <w:bottom w:w="90" w:type="dxa"/>
              <w:right w:w="360" w:type="dxa"/>
            </w:tcMar>
            <w:vAlign w:val="center"/>
            <w:hideMark/>
          </w:tcPr>
          <w:p w14:paraId="76C2878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1FD6BA7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20F44BF5" w14:textId="77777777" w:rsidTr="00CF0786">
        <w:tc>
          <w:tcPr>
            <w:tcW w:w="0" w:type="auto"/>
            <w:tcBorders>
              <w:top w:val="single" w:sz="6" w:space="0" w:color="EEEEEE"/>
            </w:tcBorders>
            <w:tcMar>
              <w:top w:w="90" w:type="dxa"/>
              <w:left w:w="360" w:type="dxa"/>
              <w:bottom w:w="90" w:type="dxa"/>
              <w:right w:w="360" w:type="dxa"/>
            </w:tcMar>
            <w:vAlign w:val="center"/>
            <w:hideMark/>
          </w:tcPr>
          <w:p w14:paraId="4790838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Salbutamol (сальбутамол), інгаляція під тиском, або Аерозоль для інгаляцій, дозований, 100 мкг/доза по 200 доз у контейнерах або у балонах</w:t>
            </w:r>
          </w:p>
        </w:tc>
        <w:tc>
          <w:tcPr>
            <w:tcW w:w="0" w:type="auto"/>
            <w:tcBorders>
              <w:top w:val="single" w:sz="6" w:space="0" w:color="EEEEEE"/>
            </w:tcBorders>
            <w:tcMar>
              <w:top w:w="90" w:type="dxa"/>
              <w:left w:w="360" w:type="dxa"/>
              <w:bottom w:w="90" w:type="dxa"/>
              <w:right w:w="360" w:type="dxa"/>
            </w:tcMar>
            <w:vAlign w:val="center"/>
            <w:hideMark/>
          </w:tcPr>
          <w:p w14:paraId="0E11911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2F876D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1FCEAA66" w14:textId="77777777" w:rsidTr="00CF0786">
        <w:tc>
          <w:tcPr>
            <w:tcW w:w="0" w:type="auto"/>
            <w:tcBorders>
              <w:top w:val="single" w:sz="6" w:space="0" w:color="EEEEEE"/>
            </w:tcBorders>
            <w:tcMar>
              <w:top w:w="90" w:type="dxa"/>
              <w:left w:w="360" w:type="dxa"/>
              <w:bottom w:w="90" w:type="dxa"/>
              <w:right w:w="360" w:type="dxa"/>
            </w:tcMar>
            <w:vAlign w:val="center"/>
            <w:hideMark/>
          </w:tcPr>
          <w:p w14:paraId="5712C9C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Glucose (глюкоза), розчин для ін’єкцій 0,4 г/мл по 10 мл або по 20 мл в ампулах</w:t>
            </w:r>
          </w:p>
        </w:tc>
        <w:tc>
          <w:tcPr>
            <w:tcW w:w="0" w:type="auto"/>
            <w:tcBorders>
              <w:top w:val="single" w:sz="6" w:space="0" w:color="EEEEEE"/>
            </w:tcBorders>
            <w:tcMar>
              <w:top w:w="90" w:type="dxa"/>
              <w:left w:w="360" w:type="dxa"/>
              <w:bottom w:w="90" w:type="dxa"/>
              <w:right w:w="360" w:type="dxa"/>
            </w:tcMar>
            <w:vAlign w:val="center"/>
            <w:hideMark/>
          </w:tcPr>
          <w:p w14:paraId="06D38D9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7CECB45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13F57BA2" w14:textId="77777777" w:rsidTr="00CF0786">
        <w:tc>
          <w:tcPr>
            <w:tcW w:w="0" w:type="auto"/>
            <w:tcBorders>
              <w:top w:val="single" w:sz="6" w:space="0" w:color="EEEEEE"/>
            </w:tcBorders>
            <w:tcMar>
              <w:top w:w="90" w:type="dxa"/>
              <w:left w:w="360" w:type="dxa"/>
              <w:bottom w:w="90" w:type="dxa"/>
              <w:right w:w="360" w:type="dxa"/>
            </w:tcMar>
            <w:vAlign w:val="center"/>
            <w:hideMark/>
          </w:tcPr>
          <w:p w14:paraId="566BC13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Diphenhydramine (дифенгідрамін), розчин для ін’єкцій, 10 мг/мл по 1 мл в ампулах</w:t>
            </w:r>
          </w:p>
        </w:tc>
        <w:tc>
          <w:tcPr>
            <w:tcW w:w="0" w:type="auto"/>
            <w:tcBorders>
              <w:top w:val="single" w:sz="6" w:space="0" w:color="EEEEEE"/>
            </w:tcBorders>
            <w:tcMar>
              <w:top w:w="90" w:type="dxa"/>
              <w:left w:w="360" w:type="dxa"/>
              <w:bottom w:w="90" w:type="dxa"/>
              <w:right w:w="360" w:type="dxa"/>
            </w:tcMar>
            <w:vAlign w:val="center"/>
            <w:hideMark/>
          </w:tcPr>
          <w:p w14:paraId="7EE0B46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0D7671B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5167EF29" w14:textId="77777777" w:rsidTr="00CF0786">
        <w:tc>
          <w:tcPr>
            <w:tcW w:w="0" w:type="auto"/>
            <w:tcBorders>
              <w:top w:val="single" w:sz="6" w:space="0" w:color="EEEEEE"/>
            </w:tcBorders>
            <w:tcMar>
              <w:top w:w="90" w:type="dxa"/>
              <w:left w:w="360" w:type="dxa"/>
              <w:bottom w:w="90" w:type="dxa"/>
              <w:right w:w="360" w:type="dxa"/>
            </w:tcMar>
            <w:vAlign w:val="center"/>
            <w:hideMark/>
          </w:tcPr>
          <w:p w14:paraId="4B94BCE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Epinephrine (епінефрин), розчин для ін’єкцій, 1,8 мг/мл або 1,82 мг/мл, або 1,0 мг/мл по 1 мл в ампулах</w:t>
            </w:r>
          </w:p>
        </w:tc>
        <w:tc>
          <w:tcPr>
            <w:tcW w:w="0" w:type="auto"/>
            <w:tcBorders>
              <w:top w:val="single" w:sz="6" w:space="0" w:color="EEEEEE"/>
            </w:tcBorders>
            <w:tcMar>
              <w:top w:w="90" w:type="dxa"/>
              <w:left w:w="360" w:type="dxa"/>
              <w:bottom w:w="90" w:type="dxa"/>
              <w:right w:w="360" w:type="dxa"/>
            </w:tcMar>
            <w:vAlign w:val="center"/>
            <w:hideMark/>
          </w:tcPr>
          <w:p w14:paraId="241F0B6F"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5606794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125E4A3B" w14:textId="77777777" w:rsidTr="00CF0786">
        <w:tc>
          <w:tcPr>
            <w:tcW w:w="0" w:type="auto"/>
            <w:tcBorders>
              <w:top w:val="single" w:sz="6" w:space="0" w:color="EEEEEE"/>
            </w:tcBorders>
            <w:tcMar>
              <w:top w:w="90" w:type="dxa"/>
              <w:left w:w="360" w:type="dxa"/>
              <w:bottom w:w="90" w:type="dxa"/>
              <w:right w:w="360" w:type="dxa"/>
            </w:tcMar>
            <w:vAlign w:val="center"/>
            <w:hideMark/>
          </w:tcPr>
          <w:p w14:paraId="1B4EEB9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Chlorhexidine (хлоргексидину біглюконат), розчин для зовнішнього застосування 0,05% по по 50 мл або 100 мл або по 200 мл у флаконах, контейнерах</w:t>
            </w:r>
          </w:p>
        </w:tc>
        <w:tc>
          <w:tcPr>
            <w:tcW w:w="0" w:type="auto"/>
            <w:tcBorders>
              <w:top w:val="single" w:sz="6" w:space="0" w:color="EEEEEE"/>
            </w:tcBorders>
            <w:tcMar>
              <w:top w:w="90" w:type="dxa"/>
              <w:left w:w="360" w:type="dxa"/>
              <w:bottom w:w="90" w:type="dxa"/>
              <w:right w:w="360" w:type="dxa"/>
            </w:tcMar>
            <w:vAlign w:val="center"/>
            <w:hideMark/>
          </w:tcPr>
          <w:p w14:paraId="3DB09E5A"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BB7B9C3"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0C40704D" w14:textId="77777777" w:rsidTr="00CF0786">
        <w:tc>
          <w:tcPr>
            <w:tcW w:w="0" w:type="auto"/>
            <w:tcBorders>
              <w:top w:val="single" w:sz="6" w:space="0" w:color="EEEEEE"/>
            </w:tcBorders>
            <w:tcMar>
              <w:top w:w="90" w:type="dxa"/>
              <w:left w:w="360" w:type="dxa"/>
              <w:bottom w:w="90" w:type="dxa"/>
              <w:right w:w="360" w:type="dxa"/>
            </w:tcMar>
            <w:vAlign w:val="center"/>
            <w:hideMark/>
          </w:tcPr>
          <w:p w14:paraId="46526B7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Шина на кінцівку для надання першої допомоги</w:t>
            </w:r>
          </w:p>
        </w:tc>
        <w:tc>
          <w:tcPr>
            <w:tcW w:w="0" w:type="auto"/>
            <w:tcBorders>
              <w:top w:val="single" w:sz="6" w:space="0" w:color="EEEEEE"/>
            </w:tcBorders>
            <w:tcMar>
              <w:top w:w="90" w:type="dxa"/>
              <w:left w:w="360" w:type="dxa"/>
              <w:bottom w:w="90" w:type="dxa"/>
              <w:right w:w="360" w:type="dxa"/>
            </w:tcMar>
            <w:vAlign w:val="center"/>
            <w:hideMark/>
          </w:tcPr>
          <w:p w14:paraId="62F25AC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069138E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41A52DFB" w14:textId="77777777" w:rsidTr="00CF0786">
        <w:tc>
          <w:tcPr>
            <w:tcW w:w="0" w:type="auto"/>
            <w:tcBorders>
              <w:top w:val="single" w:sz="6" w:space="0" w:color="EEEEEE"/>
            </w:tcBorders>
            <w:tcMar>
              <w:top w:w="90" w:type="dxa"/>
              <w:left w:w="360" w:type="dxa"/>
              <w:bottom w:w="90" w:type="dxa"/>
              <w:right w:w="360" w:type="dxa"/>
            </w:tcMar>
            <w:vAlign w:val="center"/>
            <w:hideMark/>
          </w:tcPr>
          <w:p w14:paraId="1F20FBE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Дезінфекційний засіб для обробки рук і шкіри 100 мл</w:t>
            </w:r>
          </w:p>
        </w:tc>
        <w:tc>
          <w:tcPr>
            <w:tcW w:w="0" w:type="auto"/>
            <w:tcBorders>
              <w:top w:val="single" w:sz="6" w:space="0" w:color="EEEEEE"/>
            </w:tcBorders>
            <w:tcMar>
              <w:top w:w="90" w:type="dxa"/>
              <w:left w:w="360" w:type="dxa"/>
              <w:bottom w:w="90" w:type="dxa"/>
              <w:right w:w="360" w:type="dxa"/>
            </w:tcMar>
            <w:vAlign w:val="center"/>
            <w:hideMark/>
          </w:tcPr>
          <w:p w14:paraId="4F6CED7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20DFB81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4C3E62DE" w14:textId="77777777" w:rsidTr="00CF0786">
        <w:tc>
          <w:tcPr>
            <w:tcW w:w="0" w:type="auto"/>
            <w:tcBorders>
              <w:top w:val="single" w:sz="6" w:space="0" w:color="EEEEEE"/>
            </w:tcBorders>
            <w:tcMar>
              <w:top w:w="90" w:type="dxa"/>
              <w:left w:w="360" w:type="dxa"/>
              <w:bottom w:w="90" w:type="dxa"/>
              <w:right w:w="360" w:type="dxa"/>
            </w:tcMar>
            <w:vAlign w:val="center"/>
            <w:hideMark/>
          </w:tcPr>
          <w:p w14:paraId="78E1CCCC"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lastRenderedPageBreak/>
              <w:t>Футляр або сумка-укладка (саквояж) для зберігання, транспортування медичних виробів</w:t>
            </w:r>
          </w:p>
        </w:tc>
        <w:tc>
          <w:tcPr>
            <w:tcW w:w="0" w:type="auto"/>
            <w:tcBorders>
              <w:top w:val="single" w:sz="6" w:space="0" w:color="EEEEEE"/>
            </w:tcBorders>
            <w:tcMar>
              <w:top w:w="90" w:type="dxa"/>
              <w:left w:w="360" w:type="dxa"/>
              <w:bottom w:w="90" w:type="dxa"/>
              <w:right w:w="360" w:type="dxa"/>
            </w:tcMar>
            <w:vAlign w:val="center"/>
            <w:hideMark/>
          </w:tcPr>
          <w:p w14:paraId="097AAD6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425B865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196C4F1D" w14:textId="77777777" w:rsidTr="00CF0786">
        <w:tc>
          <w:tcPr>
            <w:tcW w:w="0" w:type="auto"/>
            <w:tcBorders>
              <w:top w:val="single" w:sz="6" w:space="0" w:color="EEEEEE"/>
            </w:tcBorders>
            <w:tcMar>
              <w:top w:w="90" w:type="dxa"/>
              <w:left w:w="360" w:type="dxa"/>
              <w:bottom w:w="90" w:type="dxa"/>
              <w:right w:w="360" w:type="dxa"/>
            </w:tcMar>
            <w:vAlign w:val="center"/>
            <w:hideMark/>
          </w:tcPr>
          <w:p w14:paraId="1063CAA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Термометр (для вимірювання температури тіла), в тому числі цифровий або інфрачервоний</w:t>
            </w:r>
          </w:p>
        </w:tc>
        <w:tc>
          <w:tcPr>
            <w:tcW w:w="0" w:type="auto"/>
            <w:tcBorders>
              <w:top w:val="single" w:sz="6" w:space="0" w:color="EEEEEE"/>
            </w:tcBorders>
            <w:tcMar>
              <w:top w:w="90" w:type="dxa"/>
              <w:left w:w="360" w:type="dxa"/>
              <w:bottom w:w="90" w:type="dxa"/>
              <w:right w:w="360" w:type="dxa"/>
            </w:tcMar>
            <w:vAlign w:val="center"/>
            <w:hideMark/>
          </w:tcPr>
          <w:p w14:paraId="5F6105C9"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2827C990"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305E5A0D" w14:textId="77777777" w:rsidTr="00CF0786">
        <w:tc>
          <w:tcPr>
            <w:tcW w:w="0" w:type="auto"/>
            <w:tcBorders>
              <w:top w:val="single" w:sz="6" w:space="0" w:color="EEEEEE"/>
            </w:tcBorders>
            <w:tcMar>
              <w:top w:w="90" w:type="dxa"/>
              <w:left w:w="360" w:type="dxa"/>
              <w:bottom w:w="90" w:type="dxa"/>
              <w:right w:w="360" w:type="dxa"/>
            </w:tcMar>
            <w:vAlign w:val="center"/>
            <w:hideMark/>
          </w:tcPr>
          <w:p w14:paraId="6B23CF0B"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Тонометр з малими, середніми і великими манжетами</w:t>
            </w:r>
          </w:p>
        </w:tc>
        <w:tc>
          <w:tcPr>
            <w:tcW w:w="0" w:type="auto"/>
            <w:tcBorders>
              <w:top w:val="single" w:sz="6" w:space="0" w:color="EEEEEE"/>
            </w:tcBorders>
            <w:tcMar>
              <w:top w:w="90" w:type="dxa"/>
              <w:left w:w="360" w:type="dxa"/>
              <w:bottom w:w="90" w:type="dxa"/>
              <w:right w:w="360" w:type="dxa"/>
            </w:tcMar>
            <w:vAlign w:val="center"/>
            <w:hideMark/>
          </w:tcPr>
          <w:p w14:paraId="57CACC16"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1A0441D5"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676B5332" w14:textId="77777777" w:rsidTr="00CF0786">
        <w:tc>
          <w:tcPr>
            <w:tcW w:w="0" w:type="auto"/>
            <w:tcBorders>
              <w:top w:val="single" w:sz="6" w:space="0" w:color="EEEEEE"/>
            </w:tcBorders>
            <w:tcMar>
              <w:top w:w="90" w:type="dxa"/>
              <w:left w:w="360" w:type="dxa"/>
              <w:bottom w:w="90" w:type="dxa"/>
              <w:right w:w="360" w:type="dxa"/>
            </w:tcMar>
            <w:vAlign w:val="center"/>
            <w:hideMark/>
          </w:tcPr>
          <w:p w14:paraId="2EB17E1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Пульсоксиметр портативний</w:t>
            </w:r>
          </w:p>
        </w:tc>
        <w:tc>
          <w:tcPr>
            <w:tcW w:w="0" w:type="auto"/>
            <w:tcBorders>
              <w:top w:val="single" w:sz="6" w:space="0" w:color="EEEEEE"/>
            </w:tcBorders>
            <w:tcMar>
              <w:top w:w="90" w:type="dxa"/>
              <w:left w:w="360" w:type="dxa"/>
              <w:bottom w:w="90" w:type="dxa"/>
              <w:right w:w="360" w:type="dxa"/>
            </w:tcMar>
            <w:vAlign w:val="center"/>
            <w:hideMark/>
          </w:tcPr>
          <w:p w14:paraId="6A3FECC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316AC098"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r w:rsidR="00CF0786" w:rsidRPr="00A132FE" w14:paraId="0A2FF1AF" w14:textId="77777777" w:rsidTr="00CF0786">
        <w:tc>
          <w:tcPr>
            <w:tcW w:w="0" w:type="auto"/>
            <w:tcBorders>
              <w:top w:val="single" w:sz="6" w:space="0" w:color="EEEEEE"/>
            </w:tcBorders>
            <w:tcMar>
              <w:top w:w="90" w:type="dxa"/>
              <w:left w:w="360" w:type="dxa"/>
              <w:bottom w:w="90" w:type="dxa"/>
              <w:right w:w="360" w:type="dxa"/>
            </w:tcMar>
            <w:vAlign w:val="center"/>
            <w:hideMark/>
          </w:tcPr>
          <w:p w14:paraId="1B63860D"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Стетофонендоскоп</w:t>
            </w:r>
          </w:p>
        </w:tc>
        <w:tc>
          <w:tcPr>
            <w:tcW w:w="0" w:type="auto"/>
            <w:tcBorders>
              <w:top w:val="single" w:sz="6" w:space="0" w:color="EEEEEE"/>
            </w:tcBorders>
            <w:tcMar>
              <w:top w:w="90" w:type="dxa"/>
              <w:left w:w="360" w:type="dxa"/>
              <w:bottom w:w="90" w:type="dxa"/>
              <w:right w:w="360" w:type="dxa"/>
            </w:tcMar>
            <w:vAlign w:val="center"/>
            <w:hideMark/>
          </w:tcPr>
          <w:p w14:paraId="541A4EE1"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c>
          <w:tcPr>
            <w:tcW w:w="0" w:type="auto"/>
            <w:tcBorders>
              <w:top w:val="single" w:sz="6" w:space="0" w:color="EEEEEE"/>
            </w:tcBorders>
            <w:tcMar>
              <w:top w:w="90" w:type="dxa"/>
              <w:left w:w="360" w:type="dxa"/>
              <w:bottom w:w="90" w:type="dxa"/>
              <w:right w:w="360" w:type="dxa"/>
            </w:tcMar>
            <w:vAlign w:val="center"/>
            <w:hideMark/>
          </w:tcPr>
          <w:p w14:paraId="1050E362" w14:textId="77777777" w:rsidR="00CF0786" w:rsidRPr="00A132FE" w:rsidRDefault="00CF0786" w:rsidP="00CF0786">
            <w:pPr>
              <w:spacing w:after="0" w:line="240" w:lineRule="auto"/>
              <w:rPr>
                <w:rFonts w:ascii="Times New Roman" w:eastAsia="Times New Roman" w:hAnsi="Times New Roman" w:cs="Times New Roman"/>
                <w:sz w:val="28"/>
                <w:szCs w:val="28"/>
                <w:lang w:eastAsia="ua-UA"/>
              </w:rPr>
            </w:pPr>
            <w:r w:rsidRPr="00A132FE">
              <w:rPr>
                <w:rFonts w:ascii="Times New Roman" w:eastAsia="Times New Roman" w:hAnsi="Times New Roman" w:cs="Times New Roman"/>
                <w:sz w:val="28"/>
                <w:szCs w:val="28"/>
                <w:bdr w:val="none" w:sz="0" w:space="0" w:color="auto" w:frame="1"/>
                <w:lang w:eastAsia="ua-UA"/>
              </w:rPr>
              <w:t>————</w:t>
            </w:r>
          </w:p>
        </w:tc>
      </w:tr>
    </w:tbl>
    <w:p w14:paraId="6C577A33"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lang w:eastAsia="ua-UA"/>
        </w:rPr>
        <w:t> </w:t>
      </w:r>
    </w:p>
    <w:p w14:paraId="72F7D622"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Нагадуємо, що тепер у кожному закладі загальної середньої освіти, незалежно від його підпорядкування, типу і форми власності, має бути або штатний медичний працівник, або, якщо не вдається знайти працівника на цю посаду, заклад освіти зобов’язаний укласти договір із закладом охорони здоров’я, щоб діти обслуговувалися там. Це визначається новим </w:t>
      </w:r>
      <w:hyperlink r:id="rId21" w:history="1">
        <w:r w:rsidRPr="00A132FE">
          <w:rPr>
            <w:rFonts w:ascii="Times New Roman" w:eastAsia="Times New Roman" w:hAnsi="Times New Roman" w:cs="Times New Roman"/>
            <w:color w:val="0CCCCC"/>
            <w:sz w:val="28"/>
            <w:szCs w:val="28"/>
            <w:bdr w:val="none" w:sz="0" w:space="0" w:color="auto" w:frame="1"/>
            <w:lang w:eastAsia="ua-UA"/>
          </w:rPr>
          <w:t>Санітарним регламентом</w:t>
        </w:r>
      </w:hyperlink>
      <w:r w:rsidRPr="00A132FE">
        <w:rPr>
          <w:rFonts w:ascii="Times New Roman" w:eastAsia="Times New Roman" w:hAnsi="Times New Roman" w:cs="Times New Roman"/>
          <w:color w:val="000000"/>
          <w:sz w:val="28"/>
          <w:szCs w:val="28"/>
          <w:bdr w:val="none" w:sz="0" w:space="0" w:color="auto" w:frame="1"/>
          <w:lang w:eastAsia="ua-UA"/>
        </w:rPr>
        <w:t>, який набув чинності з 1 січня 2021 року (пункт 2, розділ 7). </w:t>
      </w:r>
    </w:p>
    <w:p w14:paraId="28DECDDD"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Також 20 січня 2021 р. Кабінет міністрів України ухвалив відповідну постанову №31</w:t>
      </w:r>
      <w:r w:rsidRPr="00A132FE">
        <w:rPr>
          <w:rFonts w:ascii="Times New Roman" w:eastAsia="Times New Roman" w:hAnsi="Times New Roman" w:cs="Times New Roman"/>
          <w:color w:val="000000"/>
          <w:sz w:val="28"/>
          <w:szCs w:val="28"/>
          <w:lang w:eastAsia="ua-UA"/>
        </w:rPr>
        <w:t> </w:t>
      </w:r>
      <w:hyperlink r:id="rId22" w:anchor="Text" w:history="1">
        <w:r w:rsidRPr="00A132FE">
          <w:rPr>
            <w:rFonts w:ascii="Times New Roman" w:eastAsia="Times New Roman" w:hAnsi="Times New Roman" w:cs="Times New Roman"/>
            <w:color w:val="0CCCCC"/>
            <w:sz w:val="28"/>
            <w:szCs w:val="28"/>
            <w:bdr w:val="none" w:sz="0" w:space="0" w:color="auto" w:frame="1"/>
            <w:lang w:eastAsia="ua-UA"/>
          </w:rPr>
          <w:t>“Про затвердження Порядку здійснення медичного обслуговування учнів закладів загальної середньої освіти”</w:t>
        </w:r>
      </w:hyperlink>
      <w:r w:rsidRPr="00A132FE">
        <w:rPr>
          <w:rFonts w:ascii="Times New Roman" w:eastAsia="Times New Roman" w:hAnsi="Times New Roman" w:cs="Times New Roman"/>
          <w:color w:val="000000"/>
          <w:sz w:val="28"/>
          <w:szCs w:val="28"/>
          <w:bdr w:val="none" w:sz="0" w:space="0" w:color="auto" w:frame="1"/>
          <w:lang w:eastAsia="ua-UA"/>
        </w:rPr>
        <w:t>. </w:t>
      </w:r>
    </w:p>
    <w:p w14:paraId="068C6657" w14:textId="77777777" w:rsidR="00CF0786" w:rsidRPr="00A132FE" w:rsidRDefault="00CF0786" w:rsidP="00CF0786">
      <w:pPr>
        <w:spacing w:after="0" w:line="240" w:lineRule="auto"/>
        <w:textAlignment w:val="baseline"/>
        <w:rPr>
          <w:rFonts w:ascii="Times New Roman" w:eastAsia="Times New Roman" w:hAnsi="Times New Roman" w:cs="Times New Roman"/>
          <w:color w:val="000000"/>
          <w:sz w:val="28"/>
          <w:szCs w:val="28"/>
          <w:lang w:eastAsia="ua-UA"/>
        </w:rPr>
      </w:pPr>
      <w:r w:rsidRPr="00A132FE">
        <w:rPr>
          <w:rFonts w:ascii="Times New Roman" w:eastAsia="Times New Roman" w:hAnsi="Times New Roman" w:cs="Times New Roman"/>
          <w:color w:val="000000"/>
          <w:sz w:val="28"/>
          <w:szCs w:val="28"/>
          <w:bdr w:val="none" w:sz="0" w:space="0" w:color="auto" w:frame="1"/>
          <w:lang w:eastAsia="ua-UA"/>
        </w:rPr>
        <w:t>Відповідно до Додатку 2 до підпункту 2.1.22 </w:t>
      </w:r>
      <w:hyperlink r:id="rId23" w:anchor="Text" w:history="1">
        <w:r w:rsidRPr="00A132FE">
          <w:rPr>
            <w:rFonts w:ascii="Times New Roman" w:eastAsia="Times New Roman" w:hAnsi="Times New Roman" w:cs="Times New Roman"/>
            <w:color w:val="0CCCCC"/>
            <w:sz w:val="28"/>
            <w:szCs w:val="28"/>
            <w:bdr w:val="none" w:sz="0" w:space="0" w:color="auto" w:frame="1"/>
            <w:lang w:eastAsia="ua-UA"/>
          </w:rPr>
          <w:t>Правил безпеки під час занять у навчальних і навчально-виробничих  майстернях навчальних закладів системи загальної середньої освіти</w:t>
        </w:r>
      </w:hyperlink>
      <w:r w:rsidRPr="00A132FE">
        <w:rPr>
          <w:rFonts w:ascii="Times New Roman" w:eastAsia="Times New Roman" w:hAnsi="Times New Roman" w:cs="Times New Roman"/>
          <w:color w:val="000000"/>
          <w:sz w:val="28"/>
          <w:szCs w:val="28"/>
          <w:bdr w:val="none" w:sz="0" w:space="0" w:color="auto" w:frame="1"/>
          <w:lang w:eastAsia="ua-UA"/>
        </w:rPr>
        <w:t>, комплектування аптечки  і  складання  інструкції  з  надання першої (долікарської) допомоги роблять за погодженням із персоналом медпункту закладу освіти. Відповідальність за наявність медикаментів,  перев’язувальних засобів, за  належний  стан  аптечки  покладається  на завідувача майстернею. Контролює стан аптечки персонал медпункту.</w:t>
      </w:r>
    </w:p>
    <w:p w14:paraId="799A4475" w14:textId="77777777" w:rsidR="00401578" w:rsidRPr="00A132FE" w:rsidRDefault="00401578">
      <w:pPr>
        <w:rPr>
          <w:rFonts w:ascii="Times New Roman" w:hAnsi="Times New Roman" w:cs="Times New Roman"/>
          <w:sz w:val="28"/>
          <w:szCs w:val="28"/>
        </w:rPr>
      </w:pPr>
    </w:p>
    <w:sectPr w:rsidR="00401578" w:rsidRPr="00A132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E6A18"/>
    <w:multiLevelType w:val="multilevel"/>
    <w:tmpl w:val="C12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2401DCB"/>
    <w:multiLevelType w:val="multilevel"/>
    <w:tmpl w:val="3ED4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D01EEB"/>
    <w:multiLevelType w:val="multilevel"/>
    <w:tmpl w:val="AC32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597E1A"/>
    <w:multiLevelType w:val="multilevel"/>
    <w:tmpl w:val="143E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73F75C0"/>
    <w:multiLevelType w:val="multilevel"/>
    <w:tmpl w:val="2EDA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578"/>
    <w:rsid w:val="00401578"/>
    <w:rsid w:val="00A132FE"/>
    <w:rsid w:val="00CF0786"/>
  </w:rsids>
  <m:mathPr>
    <m:mathFont m:val="Cambria Math"/>
    <m:brkBin m:val="before"/>
    <m:brkBinSub m:val="--"/>
    <m:smallFrac m:val="0"/>
    <m:dispDef/>
    <m:lMargin m:val="0"/>
    <m:rMargin m:val="0"/>
    <m:defJc m:val="centerGroup"/>
    <m:wrapIndent m:val="1440"/>
    <m:intLim m:val="subSup"/>
    <m:naryLim m:val="undOvr"/>
  </m:mathPr>
  <w:themeFontLang w:val="ua-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F3BD"/>
  <w15:chartTrackingRefBased/>
  <w15:docId w15:val="{04D8AA16-AB77-4196-9A88-D8F7ECB7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a-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0786"/>
    <w:pPr>
      <w:spacing w:after="0" w:line="240" w:lineRule="auto"/>
    </w:pPr>
    <w:rPr>
      <w:rFonts w:ascii="Segoe UI" w:hAnsi="Segoe UI" w:cs="Segoe UI"/>
      <w:sz w:val="18"/>
      <w:szCs w:val="18"/>
    </w:rPr>
  </w:style>
  <w:style w:type="character" w:customStyle="1" w:styleId="a4">
    <w:name w:val="Текст у виносці Знак"/>
    <w:basedOn w:val="a0"/>
    <w:link w:val="a3"/>
    <w:uiPriority w:val="99"/>
    <w:semiHidden/>
    <w:rsid w:val="00CF07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z.gov.ua/article/ministry-mandates/nakaz-moz-ukraini-vid-06042021--637-pro-zatverdzhennja-primirnogo-pereliku-medichnih-virobiv-likarskih-zasobiv-ta-inshih-materialiv-jaki-povinni-buti-u-skladi-medichnoi-ukladki-dlja-nadannja-medichnoi-dopomogi-u-medichnomu-punkti-zakladu-osviti?fbclid=IwAR3ETeOyFGliH0P1xRhhP9oKLK9z84YIKaVIzSQbIQKYok_6rPqr8eea0WA" TargetMode="External"/><Relationship Id="rId13" Type="http://schemas.openxmlformats.org/officeDocument/2006/relationships/hyperlink" Target="http://zakon.rada.gov.ua/laws/show/z0990-07" TargetMode="External"/><Relationship Id="rId18" Type="http://schemas.openxmlformats.org/officeDocument/2006/relationships/hyperlink" Target="https://zakon.rada.gov.ua/laws/show/z0651-10" TargetMode="External"/><Relationship Id="rId3" Type="http://schemas.openxmlformats.org/officeDocument/2006/relationships/settings" Target="settings.xml"/><Relationship Id="rId21" Type="http://schemas.openxmlformats.org/officeDocument/2006/relationships/hyperlink" Target="https://www.reestrnpa.gov.ua/REESTR/RNAweb.nsf/alldocact2/re35394$0000_00_00?OpenDocument&amp;link4&amp;g-recaptcha-response=03AGdBq27pg_R-hbZ0adZP42CGRsJtNLdh68VtDL2Cry3agCrvGAVwQAHyhMUrHwM2A_jw4uaJk1dudKJsmF-Yj1Axp-PgpVXUFTjy7SvW6GIw_dJDjXHs-FU4x6IyQbnDmiMTp0xVCsaam3UjX8MPe0PoAm4NbN5nQrg8Z_y3qIL-DiYbnxS5fDbJ6FXdHvSs6jvmslp-hNRErJbeMZZz2giOej4ckVrm3wspLsyh_y7i_Wq47hGPhwQ6MEEHAsv66ThPSaf8bOEdJunheIgG-qHqeTwssAwEykdelSv-KkxRY9MVqMfNadJAawrBqgxPFsWZrd0d__rqfDLy-y_pYbf9u9gwTdhGf_P4IELaKRBCM45sWljXgBIk5wD9q0dNq-mIS_q8NNWGYs7AD95VCxa2qnxeMPF_hAWv9BuJ2dOvgffMwlpZ65RnIPeU49U4pTgeNoz_f6BF" TargetMode="External"/><Relationship Id="rId7" Type="http://schemas.openxmlformats.org/officeDocument/2006/relationships/image" Target="media/image2.png"/><Relationship Id="rId12" Type="http://schemas.openxmlformats.org/officeDocument/2006/relationships/hyperlink" Target="http://zakon.rada.gov.ua/laws/show/z0651-10" TargetMode="External"/><Relationship Id="rId17" Type="http://schemas.openxmlformats.org/officeDocument/2006/relationships/hyperlink" Target="https://zakon.rada.gov.ua/laws/show/z0044-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oz.gov.ua/article/minizatverdzhennja-primirnogo-pereliku-medichnih-virobiv-likarskih-zasobiv-ta-inshstry-mandates/nakaz-moz-ukraini-vid-06042021--637-pro-ih-materialiv-jaki-povinni-buti-u-skladi-medichnoi-ukladki-dlja-nadannja-medichnoi-dopomogi-u-medichnomu-punkti-zakladu-osviti?fbclid=IwAR3ETeOyFGliH0P1xRhhP9oKLK9z84YIKaVIzSQbIQKYok_6rPqr8eea0WA" TargetMode="External"/><Relationship Id="rId20" Type="http://schemas.openxmlformats.org/officeDocument/2006/relationships/hyperlink" Target="https://zakon.rada.gov.ua/laws/show/z0990-07" TargetMode="External"/><Relationship Id="rId1" Type="http://schemas.openxmlformats.org/officeDocument/2006/relationships/numbering" Target="numbering.xml"/><Relationship Id="rId6" Type="http://schemas.openxmlformats.org/officeDocument/2006/relationships/hyperlink" Target="https://moz.gov.ua/article/ministry-mandates/nakaz-moz-ukraini-vid-06042021--637-pro-zatverdzhennja-primirnogo-pereliku-medichnih-virobiv-likarskih-zasobiv-ta-inshih-materialiv-jaki-povinni-buti-u-skladi-medichnoi-ukladki-dlja-nadannja-medichnoi-dopomogi-u-medichnomu-punkti-zakladu-osviti?fbclid=IwAR3ETeOyFGliH0P1xRhhP9oKLK9z84YIKaVIzSQbIQKYok_6rPqr8eea0WA" TargetMode="External"/><Relationship Id="rId11" Type="http://schemas.openxmlformats.org/officeDocument/2006/relationships/hyperlink" Target="http://zakon.rada.gov.ua/laws/show/z1332-12"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zakon.rada.gov.ua/laws/show/z0990-07" TargetMode="External"/><Relationship Id="rId10" Type="http://schemas.openxmlformats.org/officeDocument/2006/relationships/hyperlink" Target="http://zakon.rada.gov.ua/laws/show/z0044-13" TargetMode="External"/><Relationship Id="rId19" Type="http://schemas.openxmlformats.org/officeDocument/2006/relationships/hyperlink" Target="https://zakon.rada.gov.ua/laws/show/z0651-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zakon.rada.gov.ua/laws/show/z0730-04" TargetMode="External"/><Relationship Id="rId22" Type="http://schemas.openxmlformats.org/officeDocument/2006/relationships/hyperlink" Target="https://zakon.rada.gov.ua/laws/show/31-2021-%D0%B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2048</Words>
  <Characters>11676</Characters>
  <Application>Microsoft Office Word</Application>
  <DocSecurity>0</DocSecurity>
  <Lines>97</Lines>
  <Paragraphs>27</Paragraphs>
  <ScaleCrop>false</ScaleCrop>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2025-05-12T08:12:00Z</dcterms:created>
  <dcterms:modified xsi:type="dcterms:W3CDTF">2025-05-12T08:21:00Z</dcterms:modified>
</cp:coreProperties>
</file>